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D1449F">
      <w:pPr>
        <w:spacing w:after="200"/>
        <w:ind w:left="-5" w:right="19"/>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D1449F">
      <w:pPr>
        <w:spacing w:after="200"/>
        <w:ind w:left="-5" w:right="19"/>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D1449F">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D1449F">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D1449F">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D1449F">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D1449F">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D1449F">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D1449F">
      <w:pPr>
        <w:spacing w:before="240"/>
        <w:rPr>
          <w:rFonts w:asciiTheme="majorHAnsi" w:hAnsiTheme="majorHAnsi" w:cstheme="minorBidi"/>
          <w:iCs/>
          <w:color w:val="E36C0A" w:themeColor="accent6" w:themeShade="BF"/>
        </w:rPr>
      </w:pPr>
    </w:p>
    <w:p w14:paraId="584405BF" w14:textId="5283C063" w:rsidR="00282DEA" w:rsidRPr="00A32CD9" w:rsidRDefault="00282DEA" w:rsidP="00D1449F">
      <w:pPr>
        <w:spacing w:after="0"/>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D1449F">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32"/>
      </w:tblGrid>
      <w:tr w:rsidR="00E2637D" w:rsidRPr="00A32CD9" w14:paraId="45C80432" w14:textId="77777777" w:rsidTr="00450FCD">
        <w:trPr>
          <w:trHeight w:val="746"/>
        </w:trPr>
        <w:tc>
          <w:tcPr>
            <w:tcW w:w="176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D1449F">
            <w:pPr>
              <w:spacing w:before="200" w:after="200"/>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3236" w:type="pct"/>
            <w:tcBorders>
              <w:top w:val="single" w:sz="4" w:space="0" w:color="auto"/>
              <w:left w:val="single" w:sz="4" w:space="0" w:color="auto"/>
              <w:bottom w:val="single" w:sz="4" w:space="0" w:color="auto"/>
              <w:right w:val="single" w:sz="4" w:space="0" w:color="auto"/>
            </w:tcBorders>
          </w:tcPr>
          <w:p w14:paraId="0C1FD2AE" w14:textId="470367C9" w:rsidR="0084306B" w:rsidRPr="00A32CD9" w:rsidRDefault="0084306B" w:rsidP="00D1449F">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9B5404" w:rsidRPr="009B5404">
              <w:rPr>
                <w:rFonts w:asciiTheme="majorHAnsi" w:eastAsia="MS Mincho" w:hAnsiTheme="majorHAnsi" w:cs="Calibri"/>
                <w:sz w:val="22"/>
                <w:lang w:eastAsia="ja-JP" w:bidi="th-TH"/>
              </w:rPr>
              <w:t xml:space="preserve">AHMED SOURANI | Co-Founder &amp; General Coordinator </w:t>
            </w:r>
          </w:p>
          <w:p w14:paraId="0D58EA21" w14:textId="33F47CB7" w:rsidR="00E2637D" w:rsidRPr="00A32CD9" w:rsidRDefault="00E2637D" w:rsidP="00D1449F">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w:t>
            </w:r>
            <w:r w:rsidR="009B5404">
              <w:rPr>
                <w:rFonts w:asciiTheme="majorHAnsi" w:eastAsia="MS Mincho" w:hAnsiTheme="majorHAnsi" w:cs="Calibri"/>
                <w:sz w:val="22"/>
                <w:lang w:eastAsia="ja-JP" w:bidi="th-TH"/>
              </w:rPr>
              <w:t xml:space="preserve"> </w:t>
            </w:r>
            <w:r w:rsidR="009B5404" w:rsidRPr="009B5404">
              <w:rPr>
                <w:rFonts w:asciiTheme="majorHAnsi" w:eastAsia="MS Mincho" w:hAnsiTheme="majorHAnsi" w:cs="Calibri"/>
                <w:sz w:val="22"/>
                <w:lang w:eastAsia="ja-JP" w:bidi="th-TH"/>
              </w:rPr>
              <w:t>Gaza Urban &amp; Peri-urban Agriculture Platform (GUPAP)</w:t>
            </w:r>
          </w:p>
          <w:p w14:paraId="1D05AF55" w14:textId="0B717666" w:rsidR="00201F18" w:rsidRPr="00A32CD9" w:rsidRDefault="00201F18" w:rsidP="00D1449F">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9B5404">
              <w:rPr>
                <w:rFonts w:asciiTheme="majorHAnsi" w:eastAsia="MS Mincho" w:hAnsiTheme="majorHAnsi" w:cs="Calibri"/>
                <w:sz w:val="22"/>
                <w:lang w:eastAsia="ja-JP" w:bidi="th-TH"/>
              </w:rPr>
              <w:t xml:space="preserve"> Palestine </w:t>
            </w:r>
          </w:p>
          <w:p w14:paraId="1274EF53" w14:textId="6F11BE2E" w:rsidR="00E2637D" w:rsidRPr="00A32CD9" w:rsidRDefault="00E2637D" w:rsidP="00D1449F">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hyperlink r:id="rId15" w:history="1">
              <w:r w:rsidR="009B5404" w:rsidRPr="007B4774">
                <w:rPr>
                  <w:rStyle w:val="Hyperlink"/>
                  <w:rFonts w:asciiTheme="majorHAnsi" w:eastAsia="MS Mincho" w:hAnsiTheme="majorHAnsi" w:cs="Calibri"/>
                  <w:sz w:val="22"/>
                  <w:lang w:eastAsia="ja-JP" w:bidi="th-TH"/>
                </w:rPr>
                <w:t>ahmed.sourani@gupap.org</w:t>
              </w:r>
            </w:hyperlink>
            <w:r w:rsidR="009B5404">
              <w:rPr>
                <w:rFonts w:asciiTheme="majorHAnsi" w:eastAsia="MS Mincho" w:hAnsiTheme="majorHAnsi" w:cs="Calibri"/>
                <w:sz w:val="22"/>
                <w:lang w:eastAsia="ja-JP" w:bidi="th-TH"/>
              </w:rPr>
              <w:t xml:space="preserve"> </w:t>
            </w:r>
          </w:p>
          <w:p w14:paraId="271AAF69" w14:textId="77777777" w:rsidR="007B6EA5" w:rsidRPr="00A32CD9" w:rsidRDefault="007B6EA5" w:rsidP="00D1449F">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450FCD">
        <w:trPr>
          <w:trHeight w:val="746"/>
        </w:trPr>
        <w:tc>
          <w:tcPr>
            <w:tcW w:w="176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D1449F">
            <w:pPr>
              <w:spacing w:before="200" w:after="200"/>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3236" w:type="pct"/>
            <w:tcBorders>
              <w:top w:val="single" w:sz="4" w:space="0" w:color="auto"/>
              <w:left w:val="single" w:sz="4" w:space="0" w:color="auto"/>
              <w:bottom w:val="single" w:sz="4" w:space="0" w:color="auto"/>
              <w:right w:val="single" w:sz="4" w:space="0" w:color="auto"/>
            </w:tcBorders>
          </w:tcPr>
          <w:p w14:paraId="0C3D1D9F" w14:textId="7B15A192" w:rsidR="004458E4" w:rsidRPr="00A32CD9" w:rsidRDefault="001F1013" w:rsidP="00D1449F">
            <w:pPr>
              <w:spacing w:before="200" w:after="200" w:line="259" w:lineRule="auto"/>
              <w:contextualSpacing/>
              <w:rPr>
                <w:rFonts w:asciiTheme="majorHAnsi" w:eastAsia="MS Mincho" w:hAnsiTheme="majorHAnsi" w:cs="Calibri"/>
                <w:sz w:val="22"/>
                <w:lang w:eastAsia="ja-JP" w:bidi="th-TH"/>
              </w:rPr>
            </w:pPr>
            <w:r w:rsidRPr="001F1013">
              <w:rPr>
                <w:rFonts w:asciiTheme="majorHAnsi" w:eastAsia="MS Mincho" w:hAnsiTheme="majorHAnsi" w:cs="Calibri"/>
                <w:sz w:val="22"/>
                <w:lang w:eastAsia="ja-JP" w:bidi="th-TH"/>
              </w:rPr>
              <w:t>Advancing Collective Action and Gender Equity Through Community-Led Urban Agricultural Transformation in Crisis-Stricken Gaza</w:t>
            </w:r>
          </w:p>
        </w:tc>
      </w:tr>
      <w:bookmarkEnd w:id="1"/>
      <w:tr w:rsidR="002326A5" w:rsidRPr="00A32CD9" w14:paraId="5CA2D68F" w14:textId="77777777" w:rsidTr="00450FCD">
        <w:trPr>
          <w:trHeight w:val="2719"/>
        </w:trPr>
        <w:tc>
          <w:tcPr>
            <w:tcW w:w="176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D1449F">
            <w:pPr>
              <w:spacing w:before="200" w:after="200"/>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323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3858197" w:rsidR="00201F18"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1BD08E27" w:rsidR="002326A5" w:rsidRPr="00A32CD9" w:rsidRDefault="00000000" w:rsidP="00D1449F">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450FCD">
        <w:trPr>
          <w:trHeight w:val="369"/>
        </w:trPr>
        <w:tc>
          <w:tcPr>
            <w:tcW w:w="1764" w:type="pct"/>
          </w:tcPr>
          <w:p w14:paraId="2555BCB8" w14:textId="77777777" w:rsidR="00E2637D" w:rsidRPr="00A32CD9" w:rsidRDefault="00E2637D" w:rsidP="00D1449F">
            <w:pPr>
              <w:spacing w:before="200" w:after="200"/>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3236" w:type="pct"/>
          </w:tcPr>
          <w:p w14:paraId="6535AE6A" w14:textId="55ED9D50" w:rsidR="00E2637D"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46FCB261" w:rsidR="00A9138F"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D1449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D1449F">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450FCD">
        <w:trPr>
          <w:trHeight w:val="369"/>
        </w:trPr>
        <w:tc>
          <w:tcPr>
            <w:tcW w:w="1764" w:type="pct"/>
          </w:tcPr>
          <w:p w14:paraId="2060B647" w14:textId="6915A0CF" w:rsidR="001741B4" w:rsidRPr="00A32CD9" w:rsidRDefault="001741B4" w:rsidP="00D1449F">
            <w:pPr>
              <w:spacing w:before="200" w:after="200"/>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D1449F">
            <w:pPr>
              <w:spacing w:before="200" w:after="200"/>
              <w:rPr>
                <w:rFonts w:asciiTheme="majorHAnsi" w:eastAsia="Calibri" w:hAnsiTheme="majorHAnsi" w:cs="Calibri"/>
                <w:b/>
                <w:bCs/>
                <w:sz w:val="22"/>
              </w:rPr>
            </w:pPr>
          </w:p>
        </w:tc>
        <w:tc>
          <w:tcPr>
            <w:tcW w:w="3236" w:type="pct"/>
          </w:tcPr>
          <w:p w14:paraId="6104FD9F" w14:textId="066B856E" w:rsidR="00862017" w:rsidRPr="00A32CD9" w:rsidRDefault="00000000" w:rsidP="00D1449F">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D1449F">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47CEBAE6" w:rsidR="00862017" w:rsidRPr="00A32CD9" w:rsidRDefault="00000000" w:rsidP="00D1449F">
            <w:pPr>
              <w:spacing w:before="200" w:after="200"/>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4A39113D"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4EC2DD88"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7C97709B" w:rsidR="00862017"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08C1723D" w:rsidR="00C3680A" w:rsidRPr="00A32CD9" w:rsidRDefault="00000000" w:rsidP="00D1449F">
            <w:pPr>
              <w:spacing w:before="200" w:after="200"/>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D1449F">
            <w:pPr>
              <w:spacing w:after="0"/>
              <w:rPr>
                <w:rFonts w:asciiTheme="majorHAnsi" w:eastAsia="Calibri" w:hAnsiTheme="majorHAnsi" w:cs="Calibri"/>
                <w:i/>
                <w:iCs/>
                <w:sz w:val="22"/>
              </w:rPr>
            </w:pPr>
          </w:p>
          <w:p w14:paraId="7C457567" w14:textId="6CB216EA" w:rsidR="00C3680A"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56E96FCA" w:rsidR="00C3680A" w:rsidRPr="00A32CD9" w:rsidRDefault="00000000" w:rsidP="00D1449F">
            <w:pPr>
              <w:spacing w:after="0"/>
              <w:ind w:left="1080" w:hanging="360"/>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D1449F">
            <w:pPr>
              <w:spacing w:after="0"/>
              <w:ind w:left="1080" w:hanging="360"/>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000000" w:rsidP="00D1449F">
            <w:pPr>
              <w:spacing w:after="0"/>
              <w:ind w:left="720"/>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000000" w:rsidP="00D1449F">
            <w:pPr>
              <w:spacing w:after="0"/>
              <w:ind w:left="720"/>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49913878" w:rsidR="00C16D6D" w:rsidRPr="00A32CD9" w:rsidRDefault="00000000" w:rsidP="00D1449F">
            <w:pPr>
              <w:spacing w:after="0"/>
              <w:ind w:left="720"/>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497436B2" w:rsidR="00C16D6D" w:rsidRPr="00A32CD9" w:rsidRDefault="00000000" w:rsidP="00D1449F">
            <w:pPr>
              <w:spacing w:after="0"/>
              <w:ind w:left="720"/>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D1449F">
            <w:pPr>
              <w:spacing w:before="200" w:after="200"/>
              <w:ind w:left="1080" w:hanging="360"/>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18BE5790" w:rsidR="00862017" w:rsidRPr="00A32CD9" w:rsidRDefault="00000000" w:rsidP="00D1449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6CCFEEC8" w:rsidR="00862017" w:rsidRPr="00A32CD9" w:rsidRDefault="00000000" w:rsidP="00D1449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D1449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5BD17F6D" w:rsidR="00862017" w:rsidRPr="00A32CD9" w:rsidRDefault="00000000" w:rsidP="00D1449F">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50CB65A3" w:rsidR="000C1347" w:rsidRPr="00A32CD9" w:rsidRDefault="00000000" w:rsidP="00D1449F">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758F156F" w:rsidR="001741B4" w:rsidRPr="00A32CD9" w:rsidRDefault="00000000" w:rsidP="00D1449F">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000000" w:rsidP="00D1449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18B1B157" w14:textId="77777777" w:rsidR="001741B4" w:rsidRDefault="00000000" w:rsidP="00D1449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1"/>
                  <w14:checkedState w14:val="2612" w14:font="MS Gothic"/>
                  <w14:uncheckedState w14:val="2610" w14:font="MS Gothic"/>
                </w14:checkbox>
              </w:sdtPr>
              <w:sdtContent>
                <w:r w:rsidR="001F1013">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w:t>
            </w:r>
          </w:p>
          <w:p w14:paraId="622485CF" w14:textId="6F7BFBA0" w:rsidR="001F1013" w:rsidRPr="00A32CD9" w:rsidRDefault="001F1013" w:rsidP="00D1449F">
            <w:pPr>
              <w:spacing w:before="200" w:after="200"/>
              <w:ind w:left="360" w:hanging="360"/>
              <w:rPr>
                <w:rFonts w:asciiTheme="majorHAnsi" w:eastAsia="MS Mincho" w:hAnsiTheme="majorHAnsi"/>
                <w:bCs/>
                <w:sz w:val="22"/>
                <w:lang w:val="en-GB" w:eastAsia="ja-JP" w:bidi="th-TH"/>
              </w:rPr>
            </w:pPr>
            <w:r w:rsidRPr="001F1013">
              <w:rPr>
                <w:rFonts w:asciiTheme="majorHAnsi" w:eastAsia="MS Mincho" w:hAnsiTheme="majorHAnsi"/>
                <w:bCs/>
                <w:sz w:val="22"/>
                <w:lang w:eastAsia="ja-JP" w:bidi="th-TH"/>
              </w:rPr>
              <w:t>Urban Agricultural Transformation</w:t>
            </w:r>
          </w:p>
        </w:tc>
      </w:tr>
      <w:tr w:rsidR="00E25089" w:rsidRPr="00A32CD9" w14:paraId="05307944" w14:textId="77777777" w:rsidTr="00450FCD">
        <w:trPr>
          <w:trHeight w:val="369"/>
        </w:trPr>
        <w:tc>
          <w:tcPr>
            <w:tcW w:w="1764" w:type="pct"/>
          </w:tcPr>
          <w:p w14:paraId="1EF9ABC7" w14:textId="67882585" w:rsidR="00E25089" w:rsidRPr="00A32CD9" w:rsidRDefault="00E05F83" w:rsidP="00D1449F">
            <w:pPr>
              <w:spacing w:before="200" w:after="200"/>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3236" w:type="pct"/>
          </w:tcPr>
          <w:p w14:paraId="28F6E5F9" w14:textId="10A2C173" w:rsidR="00B75C38" w:rsidRPr="00B75C38" w:rsidRDefault="00B75C38" w:rsidP="00D1449F">
            <w:pPr>
              <w:spacing w:before="200" w:after="200"/>
              <w:ind w:left="66"/>
              <w:rPr>
                <w:rFonts w:asciiTheme="majorHAnsi" w:eastAsia="Calibri" w:hAnsiTheme="majorHAnsi" w:cs="Segoe UI Symbol"/>
                <w:sz w:val="22"/>
              </w:rPr>
            </w:pPr>
            <w:r w:rsidRPr="00B75C38">
              <w:rPr>
                <w:rFonts w:asciiTheme="majorHAnsi" w:eastAsia="Calibri" w:hAnsiTheme="majorHAnsi" w:cs="Segoe UI Symbol"/>
                <w:b/>
                <w:bCs/>
                <w:sz w:val="22"/>
              </w:rPr>
              <w:t xml:space="preserve">CCFD-Terre Solidaire French </w:t>
            </w:r>
            <w:r w:rsidRPr="00B75C38">
              <w:rPr>
                <w:rFonts w:asciiTheme="majorHAnsi" w:eastAsia="Calibri" w:hAnsiTheme="majorHAnsi" w:cs="Segoe UI Symbol"/>
                <w:sz w:val="22"/>
              </w:rPr>
              <w:t xml:space="preserve">has provided crucial funding for resilience-building efforts, specifically focusing on supporting women </w:t>
            </w:r>
            <w:r w:rsidR="00124565" w:rsidRPr="00B75C38">
              <w:rPr>
                <w:rFonts w:asciiTheme="majorHAnsi" w:eastAsia="Calibri" w:hAnsiTheme="majorHAnsi" w:cs="Segoe UI Symbol"/>
                <w:sz w:val="22"/>
              </w:rPr>
              <w:t>agriprenuers</w:t>
            </w:r>
            <w:r w:rsidRPr="00B75C38">
              <w:rPr>
                <w:rFonts w:asciiTheme="majorHAnsi" w:eastAsia="Calibri" w:hAnsiTheme="majorHAnsi" w:cs="Segoe UI Symbol"/>
                <w:sz w:val="22"/>
              </w:rPr>
              <w:t xml:space="preserve"> and promoting food </w:t>
            </w:r>
            <w:r w:rsidR="00124565">
              <w:rPr>
                <w:rFonts w:asciiTheme="majorHAnsi" w:eastAsia="Calibri" w:hAnsiTheme="majorHAnsi" w:cs="Segoe UI Symbol"/>
                <w:sz w:val="22"/>
              </w:rPr>
              <w:t>resilience</w:t>
            </w:r>
            <w:r w:rsidRPr="00B75C38">
              <w:rPr>
                <w:rFonts w:asciiTheme="majorHAnsi" w:eastAsia="Calibri" w:hAnsiTheme="majorHAnsi" w:cs="Segoe UI Symbol"/>
                <w:sz w:val="22"/>
              </w:rPr>
              <w:t xml:space="preserve">. This partnership has allowed GUPAP to implement key interventions that </w:t>
            </w:r>
            <w:r w:rsidR="001C06F8">
              <w:rPr>
                <w:rFonts w:asciiTheme="majorHAnsi" w:eastAsia="Calibri" w:hAnsiTheme="majorHAnsi" w:cs="Segoe UI Symbol"/>
                <w:sz w:val="22"/>
              </w:rPr>
              <w:t>survive</w:t>
            </w:r>
            <w:r w:rsidRPr="00B75C38">
              <w:rPr>
                <w:rFonts w:asciiTheme="majorHAnsi" w:eastAsia="Calibri" w:hAnsiTheme="majorHAnsi" w:cs="Segoe UI Symbol"/>
                <w:sz w:val="22"/>
              </w:rPr>
              <w:t xml:space="preserve"> marginalized women to rebuild their livelihoods and contribute meaningfully to local food systems.</w:t>
            </w:r>
          </w:p>
          <w:p w14:paraId="22E137DB" w14:textId="2B657BDC" w:rsidR="00B75C38" w:rsidRPr="00B75C38" w:rsidRDefault="00B75C38" w:rsidP="00D1449F">
            <w:pPr>
              <w:spacing w:before="200" w:after="200"/>
              <w:ind w:left="66"/>
              <w:rPr>
                <w:rFonts w:asciiTheme="majorHAnsi" w:eastAsia="Calibri" w:hAnsiTheme="majorHAnsi" w:cs="Segoe UI Symbol"/>
                <w:sz w:val="22"/>
              </w:rPr>
            </w:pPr>
            <w:r w:rsidRPr="00B75C38">
              <w:rPr>
                <w:rFonts w:asciiTheme="majorHAnsi" w:eastAsia="Calibri" w:hAnsiTheme="majorHAnsi" w:cs="Segoe UI Symbol"/>
                <w:b/>
                <w:bCs/>
                <w:sz w:val="22"/>
              </w:rPr>
              <w:t>MADRE-USA</w:t>
            </w:r>
            <w:r w:rsidRPr="00B75C38">
              <w:rPr>
                <w:rFonts w:asciiTheme="majorHAnsi" w:eastAsia="Calibri" w:hAnsiTheme="majorHAnsi" w:cs="Segoe UI Symbol"/>
                <w:sz w:val="22"/>
              </w:rPr>
              <w:t xml:space="preserve"> has played a vital role in addressing the urgent needs of Gaza’s agripreneurs during periods of acute crisis. Through their support, GUPAP has delivered emergency interventions and capacity-</w:t>
            </w:r>
            <w:r w:rsidR="001C06F8">
              <w:rPr>
                <w:rFonts w:asciiTheme="majorHAnsi" w:eastAsia="Calibri" w:hAnsiTheme="majorHAnsi" w:cs="Segoe UI Symbol"/>
                <w:sz w:val="22"/>
              </w:rPr>
              <w:t>sharing</w:t>
            </w:r>
            <w:r w:rsidRPr="00B75C38">
              <w:rPr>
                <w:rFonts w:asciiTheme="majorHAnsi" w:eastAsia="Calibri" w:hAnsiTheme="majorHAnsi" w:cs="Segoe UI Symbol"/>
                <w:sz w:val="22"/>
              </w:rPr>
              <w:t xml:space="preserve"> programs tailored to the unique challenges of women agripreneurs, helping them navigate food insecurity and resource scarcity in a conflict-stricken context.</w:t>
            </w:r>
          </w:p>
          <w:p w14:paraId="3528A174" w14:textId="5004A7F2" w:rsidR="00B75C38" w:rsidRPr="00B75C38" w:rsidRDefault="00B75C38" w:rsidP="00D1449F">
            <w:pPr>
              <w:spacing w:before="200" w:after="200"/>
              <w:ind w:left="66"/>
              <w:rPr>
                <w:rFonts w:asciiTheme="majorHAnsi" w:eastAsia="Calibri" w:hAnsiTheme="majorHAnsi" w:cs="Segoe UI Symbol"/>
                <w:sz w:val="22"/>
              </w:rPr>
            </w:pPr>
            <w:r w:rsidRPr="00B75C38">
              <w:rPr>
                <w:rFonts w:asciiTheme="majorHAnsi" w:eastAsia="Calibri" w:hAnsiTheme="majorHAnsi" w:cs="Segoe UI Symbol"/>
                <w:sz w:val="22"/>
              </w:rPr>
              <w:t xml:space="preserve">The </w:t>
            </w:r>
            <w:r w:rsidRPr="00B75C38">
              <w:rPr>
                <w:rFonts w:asciiTheme="majorHAnsi" w:eastAsia="Calibri" w:hAnsiTheme="majorHAnsi" w:cs="Segoe UI Symbol"/>
                <w:b/>
                <w:bCs/>
                <w:sz w:val="22"/>
              </w:rPr>
              <w:t>French Consulate General in Jerusalem</w:t>
            </w:r>
            <w:r w:rsidRPr="00B75C38">
              <w:rPr>
                <w:rFonts w:asciiTheme="majorHAnsi" w:eastAsia="Calibri" w:hAnsiTheme="majorHAnsi" w:cs="Segoe UI Symbol"/>
                <w:sz w:val="22"/>
              </w:rPr>
              <w:t xml:space="preserve"> has funded a critical project to enhance resilience in Gaza’s local food systems. Notably, their contributions have supported the revival </w:t>
            </w:r>
            <w:r w:rsidRPr="00B75C38">
              <w:rPr>
                <w:rFonts w:asciiTheme="majorHAnsi" w:eastAsia="Calibri" w:hAnsiTheme="majorHAnsi" w:cs="Segoe UI Symbol"/>
                <w:sz w:val="22"/>
              </w:rPr>
              <w:lastRenderedPageBreak/>
              <w:t xml:space="preserve">of the community-led Al-Qarara Baladi Seed, a pivotal initiative that preserves indigenous seeds and promotes agroecological practices, ensuring food </w:t>
            </w:r>
            <w:r w:rsidR="001C06F8">
              <w:rPr>
                <w:rFonts w:asciiTheme="majorHAnsi" w:eastAsia="Calibri" w:hAnsiTheme="majorHAnsi" w:cs="Segoe UI Symbol"/>
                <w:sz w:val="22"/>
              </w:rPr>
              <w:t>resilience</w:t>
            </w:r>
            <w:r w:rsidRPr="00B75C38">
              <w:rPr>
                <w:rFonts w:asciiTheme="majorHAnsi" w:eastAsia="Calibri" w:hAnsiTheme="majorHAnsi" w:cs="Segoe UI Symbol"/>
                <w:sz w:val="22"/>
              </w:rPr>
              <w:t>.</w:t>
            </w:r>
          </w:p>
          <w:p w14:paraId="72C6B142" w14:textId="6D6E3762" w:rsidR="00B75C38" w:rsidRPr="00B75C38" w:rsidRDefault="00B75C38" w:rsidP="00D1449F">
            <w:pPr>
              <w:spacing w:before="200" w:after="200"/>
              <w:ind w:left="66"/>
              <w:rPr>
                <w:rFonts w:asciiTheme="majorHAnsi" w:eastAsia="Calibri" w:hAnsiTheme="majorHAnsi" w:cs="Segoe UI Symbol"/>
                <w:sz w:val="22"/>
              </w:rPr>
            </w:pPr>
            <w:r w:rsidRPr="00B75C38">
              <w:rPr>
                <w:rFonts w:asciiTheme="majorHAnsi" w:eastAsia="Calibri" w:hAnsiTheme="majorHAnsi" w:cs="Segoe UI Symbol"/>
                <w:b/>
                <w:bCs/>
                <w:sz w:val="22"/>
              </w:rPr>
              <w:t>Sustain (Australian Solidarity Network)</w:t>
            </w:r>
            <w:r w:rsidRPr="00B75C38">
              <w:rPr>
                <w:rFonts w:asciiTheme="majorHAnsi" w:eastAsia="Calibri" w:hAnsiTheme="majorHAnsi" w:cs="Segoe UI Symbol"/>
                <w:sz w:val="22"/>
              </w:rPr>
              <w:t xml:space="preserve"> has facilitated participatory capacity-sharing initiatives and crowdfunding campaigns essential for </w:t>
            </w:r>
            <w:r w:rsidR="001C06F8">
              <w:rPr>
                <w:rFonts w:asciiTheme="majorHAnsi" w:eastAsia="Calibri" w:hAnsiTheme="majorHAnsi" w:cs="Segoe UI Symbol"/>
                <w:sz w:val="22"/>
              </w:rPr>
              <w:t>supporting</w:t>
            </w:r>
            <w:r w:rsidRPr="00B75C38">
              <w:rPr>
                <w:rFonts w:asciiTheme="majorHAnsi" w:eastAsia="Calibri" w:hAnsiTheme="majorHAnsi" w:cs="Segoe UI Symbol"/>
                <w:sz w:val="22"/>
              </w:rPr>
              <w:t xml:space="preserve"> agripreneurs in Gaza. This support has enabled GUPAP to expand its work in urban agriculture, providing displaced and low-income families with </w:t>
            </w:r>
            <w:r w:rsidR="001C06F8">
              <w:rPr>
                <w:rFonts w:asciiTheme="majorHAnsi" w:eastAsia="Calibri" w:hAnsiTheme="majorHAnsi" w:cs="Segoe UI Symbol"/>
                <w:sz w:val="22"/>
              </w:rPr>
              <w:t xml:space="preserve">in-kind agricultural items </w:t>
            </w:r>
            <w:r w:rsidRPr="00B75C38">
              <w:rPr>
                <w:rFonts w:asciiTheme="majorHAnsi" w:eastAsia="Calibri" w:hAnsiTheme="majorHAnsi" w:cs="Segoe UI Symbol"/>
                <w:sz w:val="22"/>
              </w:rPr>
              <w:t xml:space="preserve">to cultivate </w:t>
            </w:r>
            <w:r w:rsidR="001C06F8">
              <w:rPr>
                <w:rFonts w:asciiTheme="majorHAnsi" w:eastAsia="Calibri" w:hAnsiTheme="majorHAnsi" w:cs="Segoe UI Symbol"/>
                <w:sz w:val="22"/>
              </w:rPr>
              <w:t>resilience</w:t>
            </w:r>
            <w:r w:rsidRPr="00B75C38">
              <w:rPr>
                <w:rFonts w:asciiTheme="majorHAnsi" w:eastAsia="Calibri" w:hAnsiTheme="majorHAnsi" w:cs="Segoe UI Symbol"/>
                <w:sz w:val="22"/>
              </w:rPr>
              <w:t xml:space="preserve"> livelihoods.</w:t>
            </w:r>
          </w:p>
          <w:p w14:paraId="6B3FAF2E" w14:textId="31139390" w:rsidR="00E25089" w:rsidRPr="00A32CD9" w:rsidDel="00862017" w:rsidRDefault="00B75C38" w:rsidP="00D1449F">
            <w:pPr>
              <w:spacing w:before="200" w:after="200"/>
              <w:ind w:left="66"/>
              <w:rPr>
                <w:rFonts w:asciiTheme="majorHAnsi" w:eastAsia="Calibri" w:hAnsiTheme="majorHAnsi" w:cs="Segoe UI Symbol"/>
                <w:sz w:val="22"/>
              </w:rPr>
            </w:pPr>
            <w:r w:rsidRPr="00B75C38">
              <w:rPr>
                <w:rFonts w:asciiTheme="majorHAnsi" w:eastAsia="Calibri" w:hAnsiTheme="majorHAnsi" w:cs="Segoe UI Symbol"/>
                <w:sz w:val="22"/>
              </w:rPr>
              <w:t xml:space="preserve">The </w:t>
            </w:r>
            <w:r w:rsidRPr="00B75C38">
              <w:rPr>
                <w:rFonts w:asciiTheme="majorHAnsi" w:eastAsia="Calibri" w:hAnsiTheme="majorHAnsi" w:cs="Segoe UI Symbol"/>
                <w:b/>
                <w:bCs/>
                <w:sz w:val="22"/>
              </w:rPr>
              <w:t>Zayed Sustainability Prize</w:t>
            </w:r>
            <w:r w:rsidRPr="00B75C38">
              <w:rPr>
                <w:rFonts w:asciiTheme="majorHAnsi" w:eastAsia="Calibri" w:hAnsiTheme="majorHAnsi" w:cs="Segoe UI Symbol"/>
                <w:sz w:val="22"/>
              </w:rPr>
              <w:t xml:space="preserve"> recognized GUPAP’s innovative approaches, the community-led solidarity marketing model, which connects agripreneurs to local markets and vulnerable consumers. The prize funds have been pivotal in scaling these practices</w:t>
            </w:r>
            <w:r w:rsidR="001C06F8">
              <w:rPr>
                <w:rFonts w:asciiTheme="majorHAnsi" w:eastAsia="Calibri" w:hAnsiTheme="majorHAnsi" w:cs="Segoe UI Symbol"/>
                <w:sz w:val="22"/>
              </w:rPr>
              <w:t xml:space="preserve"> in crisis</w:t>
            </w:r>
            <w:r w:rsidRPr="00B75C38">
              <w:rPr>
                <w:rFonts w:asciiTheme="majorHAnsi" w:eastAsia="Calibri" w:hAnsiTheme="majorHAnsi" w:cs="Segoe UI Symbol"/>
                <w:sz w:val="22"/>
              </w:rPr>
              <w:t xml:space="preserve">, ensuring </w:t>
            </w:r>
            <w:r w:rsidR="001C06F8">
              <w:rPr>
                <w:rFonts w:asciiTheme="majorHAnsi" w:eastAsia="Calibri" w:hAnsiTheme="majorHAnsi" w:cs="Segoe UI Symbol"/>
                <w:sz w:val="22"/>
              </w:rPr>
              <w:t>resilience</w:t>
            </w:r>
            <w:r w:rsidRPr="00B75C38">
              <w:rPr>
                <w:rFonts w:asciiTheme="majorHAnsi" w:eastAsia="Calibri" w:hAnsiTheme="majorHAnsi" w:cs="Segoe UI Symbol"/>
                <w:sz w:val="22"/>
              </w:rPr>
              <w:t xml:space="preserve"> urban agriculture </w:t>
            </w:r>
            <w:r w:rsidR="001C06F8">
              <w:rPr>
                <w:rFonts w:asciiTheme="majorHAnsi" w:eastAsia="Calibri" w:hAnsiTheme="majorHAnsi" w:cs="Segoe UI Symbol"/>
                <w:sz w:val="22"/>
              </w:rPr>
              <w:t>continue</w:t>
            </w:r>
            <w:r w:rsidRPr="00B75C38">
              <w:rPr>
                <w:rFonts w:asciiTheme="majorHAnsi" w:eastAsia="Calibri" w:hAnsiTheme="majorHAnsi" w:cs="Segoe UI Symbol"/>
                <w:sz w:val="22"/>
              </w:rPr>
              <w:t xml:space="preserve"> despite challenging conditions.</w:t>
            </w:r>
          </w:p>
        </w:tc>
      </w:tr>
      <w:tr w:rsidR="00663985" w:rsidRPr="00A32CD9" w14:paraId="793A372E" w14:textId="77777777" w:rsidTr="00450FCD">
        <w:trPr>
          <w:trHeight w:val="487"/>
        </w:trPr>
        <w:tc>
          <w:tcPr>
            <w:tcW w:w="5000" w:type="pct"/>
            <w:gridSpan w:val="2"/>
          </w:tcPr>
          <w:p w14:paraId="2803E467" w14:textId="77777777" w:rsidR="00663985" w:rsidRPr="001F1013" w:rsidRDefault="00B519BA" w:rsidP="00D1449F">
            <w:pPr>
              <w:pStyle w:val="ListParagraph"/>
              <w:numPr>
                <w:ilvl w:val="0"/>
                <w:numId w:val="48"/>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lastRenderedPageBreak/>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120C54C9" w14:textId="77777777" w:rsidR="00C70AA6" w:rsidRDefault="00C70AA6" w:rsidP="00D1449F">
            <w:pPr>
              <w:shd w:val="clear" w:color="auto" w:fill="FFFFFF"/>
              <w:spacing w:before="60" w:after="60"/>
              <w:rPr>
                <w:rFonts w:asciiTheme="majorHAnsi" w:eastAsia="MS Mincho" w:hAnsiTheme="majorHAnsi"/>
                <w:bCs/>
                <w:sz w:val="22"/>
                <w:lang w:val="en-GB" w:eastAsia="ja-JP" w:bidi="th-TH"/>
              </w:rPr>
            </w:pPr>
          </w:p>
          <w:p w14:paraId="2EF7F336" w14:textId="71F0BFFF" w:rsidR="001F1013" w:rsidRPr="001F1013" w:rsidRDefault="00B75C38" w:rsidP="00D1449F">
            <w:pPr>
              <w:shd w:val="clear" w:color="auto" w:fill="FFFFFF"/>
              <w:spacing w:before="60" w:after="60"/>
              <w:rPr>
                <w:rFonts w:asciiTheme="majorHAnsi" w:eastAsia="MS Mincho" w:hAnsiTheme="majorHAnsi"/>
                <w:bCs/>
                <w:sz w:val="22"/>
                <w:lang w:val="en-GB" w:eastAsia="ja-JP" w:bidi="th-TH"/>
              </w:rPr>
            </w:pPr>
            <w:r w:rsidRPr="00B75C38">
              <w:rPr>
                <w:rFonts w:asciiTheme="majorHAnsi" w:eastAsia="MS Mincho" w:hAnsiTheme="majorHAnsi"/>
                <w:bCs/>
                <w:sz w:val="22"/>
                <w:lang w:val="en-GB" w:eastAsia="ja-JP" w:bidi="th-TH"/>
              </w:rPr>
              <w:t>This community engagement good practice in Gaza emphasizes strengthening urban agricultural systems through a participatory and community-led approach that places women agripreneurs at the center. Utilizing platforms like the Urban Women Agripreneurs Forum (UWAF), it mobilizes diverse community groups to collaboratively engage in planning, capacity sharing, and advocacy efforts. Core interventions include innovative community-led solidarity marketing campaigns that connect agripreneurs with local markets, revitalizing Baladi seed systems to promote sustainability, and agroecological farming practices tailored to Gaza’s unique challenges. By prioritizing inclusivity and fostering collective action, this practice enables marginalized groups to play a pivotal role in shaping their recovery, advancing resilience, food security, and gender equity in the face of a protracted humanitarian crisis.</w:t>
            </w:r>
          </w:p>
        </w:tc>
      </w:tr>
      <w:tr w:rsidR="00663985" w:rsidRPr="00A32CD9" w14:paraId="7F008FB0" w14:textId="77777777" w:rsidTr="00450FCD">
        <w:trPr>
          <w:trHeight w:val="369"/>
        </w:trPr>
        <w:tc>
          <w:tcPr>
            <w:tcW w:w="5000" w:type="pct"/>
            <w:gridSpan w:val="2"/>
          </w:tcPr>
          <w:p w14:paraId="5D7E440C" w14:textId="77777777" w:rsidR="00663985" w:rsidRPr="003F3197" w:rsidRDefault="00663985" w:rsidP="00D1449F">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5B5EF857" w14:textId="77777777" w:rsidR="003F3197" w:rsidRDefault="003F3197" w:rsidP="00D1449F">
            <w:pPr>
              <w:shd w:val="clear" w:color="auto" w:fill="FFFFFF"/>
              <w:spacing w:before="60" w:after="60"/>
              <w:rPr>
                <w:rFonts w:asciiTheme="majorHAnsi" w:hAnsiTheme="majorHAnsi"/>
                <w:sz w:val="22"/>
              </w:rPr>
            </w:pPr>
          </w:p>
          <w:p w14:paraId="43A570D5" w14:textId="27CCB065" w:rsidR="00B75C38" w:rsidRPr="00B75C38" w:rsidRDefault="00B75C38" w:rsidP="00D1449F">
            <w:pPr>
              <w:shd w:val="clear" w:color="auto" w:fill="FFFFFF"/>
              <w:spacing w:before="60" w:after="60"/>
              <w:rPr>
                <w:rFonts w:asciiTheme="majorHAnsi" w:hAnsiTheme="majorHAnsi"/>
                <w:sz w:val="22"/>
              </w:rPr>
            </w:pPr>
            <w:r w:rsidRPr="00B75C38">
              <w:rPr>
                <w:rFonts w:asciiTheme="majorHAnsi" w:hAnsiTheme="majorHAnsi"/>
                <w:sz w:val="22"/>
              </w:rPr>
              <w:t xml:space="preserve">A central challenge is </w:t>
            </w:r>
            <w:r w:rsidRPr="00415F32">
              <w:rPr>
                <w:rFonts w:asciiTheme="majorHAnsi" w:hAnsiTheme="majorHAnsi"/>
                <w:sz w:val="22"/>
              </w:rPr>
              <w:t>food insecurity and resource scarcity</w:t>
            </w:r>
            <w:r w:rsidRPr="00B75C38">
              <w:rPr>
                <w:rFonts w:asciiTheme="majorHAnsi" w:hAnsiTheme="majorHAnsi"/>
                <w:sz w:val="22"/>
              </w:rPr>
              <w:t>, exacerbated by the destruction of over 70% of Gaza's agricultural lands and strict restrictions on imports</w:t>
            </w:r>
            <w:r w:rsidR="00104CFA">
              <w:rPr>
                <w:rFonts w:asciiTheme="majorHAnsi" w:hAnsiTheme="majorHAnsi"/>
                <w:sz w:val="22"/>
              </w:rPr>
              <w:t xml:space="preserve"> </w:t>
            </w:r>
            <w:r w:rsidR="00104CFA" w:rsidRPr="00104CFA">
              <w:rPr>
                <w:rFonts w:asciiTheme="majorHAnsi" w:hAnsiTheme="majorHAnsi"/>
                <w:sz w:val="22"/>
              </w:rPr>
              <w:t xml:space="preserve">in the Gaza continued war. </w:t>
            </w:r>
            <w:r w:rsidRPr="00B75C38">
              <w:rPr>
                <w:rFonts w:asciiTheme="majorHAnsi" w:hAnsiTheme="majorHAnsi"/>
                <w:sz w:val="22"/>
              </w:rPr>
              <w:t>These conditions have left families struggling with severe food shortages and limited access to nutritious, locally produced food. Through this practice, food production systems are rebuilt by actively engaging women agripreneurs and their communities in urban agricultural initiatives, ensuring fair and equitable access to essential resources.</w:t>
            </w:r>
          </w:p>
          <w:p w14:paraId="3CE6693B" w14:textId="77777777" w:rsidR="00B75C38" w:rsidRPr="00B75C38" w:rsidRDefault="00B75C38" w:rsidP="00D1449F">
            <w:pPr>
              <w:shd w:val="clear" w:color="auto" w:fill="FFFFFF"/>
              <w:spacing w:before="60" w:after="60"/>
              <w:rPr>
                <w:rFonts w:asciiTheme="majorHAnsi" w:hAnsiTheme="majorHAnsi"/>
                <w:sz w:val="22"/>
              </w:rPr>
            </w:pPr>
            <w:r w:rsidRPr="00B75C38">
              <w:rPr>
                <w:rFonts w:asciiTheme="majorHAnsi" w:hAnsiTheme="majorHAnsi"/>
                <w:sz w:val="22"/>
              </w:rPr>
              <w:t xml:space="preserve">The practice also confronts the </w:t>
            </w:r>
            <w:r w:rsidRPr="00415F32">
              <w:rPr>
                <w:rFonts w:asciiTheme="majorHAnsi" w:hAnsiTheme="majorHAnsi"/>
                <w:sz w:val="22"/>
              </w:rPr>
              <w:t>marginalization of women agripreneurs</w:t>
            </w:r>
            <w:r w:rsidRPr="00B75C38">
              <w:rPr>
                <w:rFonts w:asciiTheme="majorHAnsi" w:hAnsiTheme="majorHAnsi"/>
                <w:sz w:val="22"/>
              </w:rPr>
              <w:t>, who are vital contributors to Gaza's urban agricultural sector but face systemic barriers such as displacement, restricted market access, and resource shortages. By establishing inclusive platforms like the Urban Women Agripreneurs Forum (UWAF), the initiative amplifies women's voices, offering tailored support and integrating them into food aid systems and local markets, transforming their roles from marginalized producers to key agents of change.</w:t>
            </w:r>
          </w:p>
          <w:p w14:paraId="6E5FCBB5" w14:textId="3D467C3C" w:rsidR="00B75C38" w:rsidRPr="00B75C38" w:rsidRDefault="00B75C38" w:rsidP="00D1449F">
            <w:pPr>
              <w:shd w:val="clear" w:color="auto" w:fill="FFFFFF"/>
              <w:spacing w:before="60" w:after="60"/>
              <w:rPr>
                <w:rFonts w:asciiTheme="majorHAnsi" w:hAnsiTheme="majorHAnsi"/>
                <w:sz w:val="22"/>
              </w:rPr>
            </w:pPr>
            <w:r w:rsidRPr="00B75C38">
              <w:rPr>
                <w:rFonts w:asciiTheme="majorHAnsi" w:hAnsiTheme="majorHAnsi"/>
                <w:sz w:val="22"/>
              </w:rPr>
              <w:t xml:space="preserve">Another pressing issue is </w:t>
            </w:r>
            <w:r w:rsidRPr="00415F32">
              <w:rPr>
                <w:rFonts w:asciiTheme="majorHAnsi" w:hAnsiTheme="majorHAnsi"/>
                <w:sz w:val="22"/>
              </w:rPr>
              <w:t>economic disruption</w:t>
            </w:r>
            <w:r w:rsidRPr="00B75C38">
              <w:rPr>
                <w:rFonts w:asciiTheme="majorHAnsi" w:hAnsiTheme="majorHAnsi"/>
                <w:sz w:val="22"/>
              </w:rPr>
              <w:t>, which has decimated small and micro-enterprises, particularly those led by women, forcing many families into dependency on external aid. The practice revitalizes economic activity by facilitating community-led solidarity marketing campaigns and providing technical support to agripreneurs, enabling them to reclaim their autonomy and restore their livelihoods.</w:t>
            </w:r>
          </w:p>
          <w:p w14:paraId="6C16BF56" w14:textId="77777777" w:rsidR="00B75C38" w:rsidRPr="00B75C38" w:rsidRDefault="00B75C38" w:rsidP="00D1449F">
            <w:pPr>
              <w:shd w:val="clear" w:color="auto" w:fill="FFFFFF"/>
              <w:spacing w:before="60" w:after="60"/>
              <w:rPr>
                <w:rFonts w:asciiTheme="majorHAnsi" w:hAnsiTheme="majorHAnsi"/>
                <w:sz w:val="22"/>
              </w:rPr>
            </w:pPr>
            <w:r w:rsidRPr="00B75C38">
              <w:rPr>
                <w:rFonts w:asciiTheme="majorHAnsi" w:hAnsiTheme="majorHAnsi"/>
                <w:sz w:val="22"/>
              </w:rPr>
              <w:lastRenderedPageBreak/>
              <w:t xml:space="preserve">The protracted crisis has also led to </w:t>
            </w:r>
            <w:r w:rsidRPr="00415F32">
              <w:rPr>
                <w:rFonts w:asciiTheme="majorHAnsi" w:hAnsiTheme="majorHAnsi"/>
                <w:sz w:val="22"/>
              </w:rPr>
              <w:t>social fragmentation and displacement</w:t>
            </w:r>
            <w:r w:rsidRPr="00B75C38">
              <w:rPr>
                <w:rFonts w:asciiTheme="majorHAnsi" w:hAnsiTheme="majorHAnsi"/>
                <w:sz w:val="22"/>
              </w:rPr>
              <w:t>, which have strained traditional support networks and eroded social cohesion. The practice addresses these issues by fostering collective action through community-led initiatives such as solidarity kitchens, shared farming projects, and participatory community-led advisory services, rebuilding trust, solidarity, and mutual support within communities.</w:t>
            </w:r>
          </w:p>
          <w:p w14:paraId="412D396B" w14:textId="3689B52F" w:rsidR="00B75C38" w:rsidRPr="003F3197" w:rsidRDefault="00B75C38" w:rsidP="00D1449F">
            <w:pPr>
              <w:shd w:val="clear" w:color="auto" w:fill="FFFFFF"/>
              <w:spacing w:before="60" w:after="60"/>
              <w:rPr>
                <w:rFonts w:asciiTheme="majorHAnsi" w:hAnsiTheme="majorHAnsi"/>
                <w:sz w:val="22"/>
              </w:rPr>
            </w:pPr>
            <w:r w:rsidRPr="00B75C38">
              <w:rPr>
                <w:rFonts w:asciiTheme="majorHAnsi" w:hAnsiTheme="majorHAnsi"/>
                <w:sz w:val="22"/>
              </w:rPr>
              <w:t xml:space="preserve">Finally, the practice responds to the compounding impacts of </w:t>
            </w:r>
            <w:r w:rsidRPr="00415F32">
              <w:rPr>
                <w:rFonts w:asciiTheme="majorHAnsi" w:hAnsiTheme="majorHAnsi"/>
                <w:sz w:val="22"/>
              </w:rPr>
              <w:t>climate change and urban resilience</w:t>
            </w:r>
            <w:r w:rsidRPr="00B75C38">
              <w:rPr>
                <w:rFonts w:asciiTheme="majorHAnsi" w:hAnsiTheme="majorHAnsi"/>
                <w:sz w:val="22"/>
              </w:rPr>
              <w:t>, including soil degradation and water scarcity, which further threaten food production. Promoting agroecological solutions such as local seed conservation, rooftop gardening, and water-efficient farming methods equips communities with the tools to adapt to environmental stresses and sustain urban agriculture in challenging conditions.</w:t>
            </w:r>
          </w:p>
        </w:tc>
      </w:tr>
      <w:tr w:rsidR="00663985" w:rsidRPr="00A32CD9" w14:paraId="79D5BC54" w14:textId="77777777" w:rsidTr="00450FCD">
        <w:trPr>
          <w:trHeight w:val="369"/>
        </w:trPr>
        <w:tc>
          <w:tcPr>
            <w:tcW w:w="5000" w:type="pct"/>
            <w:gridSpan w:val="2"/>
          </w:tcPr>
          <w:p w14:paraId="53E1FA8F" w14:textId="77777777" w:rsidR="00663985" w:rsidRPr="003E0563" w:rsidRDefault="00663985" w:rsidP="00D1449F">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790A65E5" w14:textId="77777777" w:rsidR="003E0563" w:rsidRDefault="003E0563" w:rsidP="00D1449F">
            <w:pPr>
              <w:shd w:val="clear" w:color="auto" w:fill="FFFFFF"/>
              <w:spacing w:before="60" w:after="60"/>
              <w:rPr>
                <w:rFonts w:asciiTheme="majorHAnsi" w:hAnsiTheme="majorHAnsi"/>
                <w:sz w:val="22"/>
              </w:rPr>
            </w:pPr>
          </w:p>
          <w:p w14:paraId="74BB1DA2" w14:textId="77777777" w:rsidR="00D5162F" w:rsidRPr="00D5162F" w:rsidRDefault="00D5162F" w:rsidP="00D1449F">
            <w:pPr>
              <w:shd w:val="clear" w:color="auto" w:fill="FFFFFF"/>
              <w:spacing w:before="60" w:after="60"/>
              <w:rPr>
                <w:rFonts w:asciiTheme="majorHAnsi" w:hAnsiTheme="majorHAnsi"/>
                <w:sz w:val="22"/>
              </w:rPr>
            </w:pPr>
            <w:r w:rsidRPr="00D5162F">
              <w:rPr>
                <w:rFonts w:asciiTheme="majorHAnsi" w:hAnsiTheme="majorHAnsi"/>
                <w:sz w:val="22"/>
              </w:rPr>
              <w:t>GUPAP's good practice represents a holistic and community-driven approach to addressing Gaza's food insecurity, gender inequities, and socio-economic vulnerabilities through urban agricultural transformation. Rooted in its longstanding commitment to participatory engagement, GUPAP has established itself as a leader in promoting community resilience and food sovereignty since 2013.</w:t>
            </w:r>
          </w:p>
          <w:p w14:paraId="496CD79F" w14:textId="77777777" w:rsidR="00D5162F" w:rsidRPr="00D5162F" w:rsidRDefault="00D5162F" w:rsidP="00D1449F">
            <w:pPr>
              <w:shd w:val="clear" w:color="auto" w:fill="FFFFFF"/>
              <w:spacing w:before="60" w:after="60"/>
              <w:rPr>
                <w:rFonts w:asciiTheme="majorHAnsi" w:hAnsiTheme="majorHAnsi"/>
                <w:sz w:val="22"/>
              </w:rPr>
            </w:pPr>
            <w:r w:rsidRPr="00D5162F">
              <w:rPr>
                <w:rFonts w:asciiTheme="majorHAnsi" w:hAnsiTheme="majorHAnsi"/>
                <w:sz w:val="22"/>
              </w:rPr>
              <w:t xml:space="preserve">The practice is guided by several principles emphasizing local ownership, inclusivity, and sustainability. It prioritizes </w:t>
            </w:r>
            <w:r w:rsidRPr="00A47733">
              <w:rPr>
                <w:rFonts w:asciiTheme="majorHAnsi" w:hAnsiTheme="majorHAnsi"/>
                <w:sz w:val="22"/>
              </w:rPr>
              <w:t>community ownership</w:t>
            </w:r>
            <w:r w:rsidRPr="00D5162F">
              <w:rPr>
                <w:rFonts w:asciiTheme="majorHAnsi" w:hAnsiTheme="majorHAnsi"/>
                <w:sz w:val="22"/>
              </w:rPr>
              <w:t>, where interventions are led by local actors, such as women agripreneurs, through platforms like the Urban Women Agripreneurs Forum (UWAF). Inclusivity and gender equity are central to this approach, with deliberate efforts to engage marginalized groups, including women, youth, and displaced families while challenging social norms to create equitable access to resources and decision-making spaces. Participatory learning and knowledge-sharing mechanisms, like the Community-Led Family Farming Advisory Services (CLFFAS), empower agripreneurs to co-design solutions and build collective resilience. Sustainability and resilience are achieved through agroecological practices, urban food systems, and community-led solidarity marketing campaigns that ensure long-term food security and climate adaptation. Advocacy for policy integration further institutionalizes urban agricultural transformation within local and national frameworks, embedding gender equity and resilience into Gaza's recovery agenda.</w:t>
            </w:r>
          </w:p>
          <w:p w14:paraId="6F98CDB1" w14:textId="77777777" w:rsidR="00D5162F" w:rsidRPr="00D5162F" w:rsidRDefault="00D5162F" w:rsidP="00D1449F">
            <w:pPr>
              <w:shd w:val="clear" w:color="auto" w:fill="FFFFFF"/>
              <w:spacing w:before="60" w:after="60"/>
              <w:rPr>
                <w:rFonts w:asciiTheme="majorHAnsi" w:hAnsiTheme="majorHAnsi"/>
                <w:sz w:val="22"/>
              </w:rPr>
            </w:pPr>
            <w:r w:rsidRPr="00D5162F">
              <w:rPr>
                <w:rFonts w:asciiTheme="majorHAnsi" w:hAnsiTheme="majorHAnsi"/>
                <w:sz w:val="22"/>
              </w:rPr>
              <w:t xml:space="preserve">The </w:t>
            </w:r>
            <w:r w:rsidRPr="00A47733">
              <w:rPr>
                <w:rFonts w:asciiTheme="majorHAnsi" w:hAnsiTheme="majorHAnsi"/>
                <w:sz w:val="22"/>
              </w:rPr>
              <w:t>theory of change</w:t>
            </w:r>
            <w:r w:rsidRPr="00D5162F">
              <w:rPr>
                <w:rFonts w:asciiTheme="majorHAnsi" w:hAnsiTheme="majorHAnsi"/>
                <w:sz w:val="22"/>
              </w:rPr>
              <w:t xml:space="preserve"> underlying this practice seeks to create immediate, intermediate, and long-term impacts. In the short term, the operational capacity of 300+ women-led small and micro-enterprises (SMEs) is restored through cash and in-kind support, enabling them to resume food production and income generation. Social cohesion is rebuilt through collective farming initiatives, community-led kitchens, and solidarity campaigns that foster mutual support. Intermediate outcomes include improved food security for displaced families and marginalized communities through increased access to locally produced food and strengthening urban food systems. Localized seed systems, rooftop gardens, and climate-adaptive farming methods enhance resilience. In the long term, institutionalizing urban agricultural transformation and gender equity into Gaza's national policies fosters sustainable livelihoods and socio-economic recovery, reducing reliance on external aid and creating a self-reliant, resilient community.</w:t>
            </w:r>
          </w:p>
          <w:p w14:paraId="541804D2" w14:textId="77777777" w:rsidR="00D5162F" w:rsidRPr="00D5162F" w:rsidRDefault="00D5162F" w:rsidP="00D1449F">
            <w:pPr>
              <w:shd w:val="clear" w:color="auto" w:fill="FFFFFF"/>
              <w:spacing w:before="60" w:after="60"/>
              <w:rPr>
                <w:rFonts w:asciiTheme="majorHAnsi" w:hAnsiTheme="majorHAnsi"/>
                <w:sz w:val="22"/>
              </w:rPr>
            </w:pPr>
            <w:r w:rsidRPr="0030619E">
              <w:rPr>
                <w:rFonts w:asciiTheme="majorHAnsi" w:hAnsiTheme="majorHAnsi"/>
                <w:sz w:val="22"/>
              </w:rPr>
              <w:t>The implementation process</w:t>
            </w:r>
            <w:r w:rsidRPr="00D5162F">
              <w:rPr>
                <w:rFonts w:asciiTheme="majorHAnsi" w:hAnsiTheme="majorHAnsi"/>
                <w:sz w:val="22"/>
              </w:rPr>
              <w:t xml:space="preserve"> is structured in five key phases. First, participatory needs and capacity assessments identify challenges women agripreneurs face and map community assets and capacities, leveraging GUPAP's established networks, such as the UWAF coordination committee. The second phase involves capacity building and resource mobilization, activating the CLFFAS hotline for real-time technical support, and organizing workshops on agroecology, seed banking, and climate-resilient farming methods. Resources like seeds and tools are distributed, prioritizing displaced agripreneurs. In the implementation phase, collective action takes shape through solidarity marketing campaigns connecting agripreneurs with local markets and community-led kitchens addressing immediate food needs while fostering resilience. Advocacy and policy influence follow, with women agripreneurs participating in shaping Gaza's agricultural recovery and contributing to policy dialogues. Finally, </w:t>
            </w:r>
            <w:r w:rsidRPr="00D5162F">
              <w:rPr>
                <w:rFonts w:asciiTheme="majorHAnsi" w:hAnsiTheme="majorHAnsi"/>
                <w:sz w:val="22"/>
              </w:rPr>
              <w:lastRenderedPageBreak/>
              <w:t>monitoring and scaling are achieved through participatory tools like WhatsApp groups and surveys, documenting lessons learned to refine and expand interventions.</w:t>
            </w:r>
          </w:p>
          <w:p w14:paraId="24A8C68C" w14:textId="7868A7A3" w:rsidR="003E0563" w:rsidRPr="003E0563" w:rsidRDefault="00D5162F" w:rsidP="00D1449F">
            <w:pPr>
              <w:shd w:val="clear" w:color="auto" w:fill="FFFFFF"/>
              <w:spacing w:before="60" w:after="60"/>
              <w:rPr>
                <w:rFonts w:asciiTheme="majorHAnsi" w:hAnsiTheme="majorHAnsi"/>
                <w:sz w:val="22"/>
                <w:rtl/>
              </w:rPr>
            </w:pPr>
            <w:r w:rsidRPr="00D5162F">
              <w:rPr>
                <w:rFonts w:asciiTheme="majorHAnsi" w:hAnsiTheme="majorHAnsi"/>
                <w:sz w:val="22"/>
              </w:rPr>
              <w:t xml:space="preserve">The impact of this good practice is evidenced by GUPAP's successful initiatives, such as the revival of the community-led Al-Qarara Baladi Seed, which preserved indigenous seeds and supported 78 farming families, and its role in amplifying the voices of </w:t>
            </w:r>
            <w:r w:rsidR="002D266B">
              <w:rPr>
                <w:rFonts w:asciiTheme="majorHAnsi" w:hAnsiTheme="majorHAnsi"/>
                <w:sz w:val="22"/>
              </w:rPr>
              <w:t>500</w:t>
            </w:r>
            <w:r w:rsidRPr="00D5162F">
              <w:rPr>
                <w:rFonts w:asciiTheme="majorHAnsi" w:hAnsiTheme="majorHAnsi"/>
                <w:sz w:val="22"/>
              </w:rPr>
              <w:t xml:space="preserve"> women agripreneurs. International recognition, including the </w:t>
            </w:r>
            <w:r w:rsidRPr="00A47733">
              <w:rPr>
                <w:rFonts w:asciiTheme="majorHAnsi" w:hAnsiTheme="majorHAnsi"/>
                <w:sz w:val="22"/>
              </w:rPr>
              <w:t>Lush Spring Prize (2021)</w:t>
            </w:r>
            <w:r w:rsidRPr="00D5162F">
              <w:rPr>
                <w:rFonts w:asciiTheme="majorHAnsi" w:hAnsiTheme="majorHAnsi"/>
                <w:sz w:val="22"/>
              </w:rPr>
              <w:t xml:space="preserve"> and the </w:t>
            </w:r>
            <w:r w:rsidRPr="00A47733">
              <w:rPr>
                <w:rFonts w:asciiTheme="majorHAnsi" w:hAnsiTheme="majorHAnsi"/>
                <w:sz w:val="22"/>
              </w:rPr>
              <w:t>Zayed Sustainability Prize (2023),</w:t>
            </w:r>
            <w:r w:rsidRPr="00D5162F">
              <w:rPr>
                <w:rFonts w:asciiTheme="majorHAnsi" w:hAnsiTheme="majorHAnsi"/>
                <w:sz w:val="22"/>
              </w:rPr>
              <w:t xml:space="preserve"> further underscores GUPAP's effectiveness in promoting inclusive, rights-based food systems.</w:t>
            </w:r>
          </w:p>
        </w:tc>
      </w:tr>
      <w:tr w:rsidR="00824EB7" w:rsidRPr="00A32CD9" w14:paraId="6463E4C9" w14:textId="77777777" w:rsidTr="00450FCD">
        <w:trPr>
          <w:trHeight w:val="369"/>
        </w:trPr>
        <w:tc>
          <w:tcPr>
            <w:tcW w:w="5000" w:type="pct"/>
            <w:gridSpan w:val="2"/>
          </w:tcPr>
          <w:p w14:paraId="67986117" w14:textId="77777777" w:rsidR="00824EB7" w:rsidRPr="00B951D4" w:rsidRDefault="00824EB7" w:rsidP="00D1449F">
            <w:pPr>
              <w:pStyle w:val="ListParagraph"/>
              <w:numPr>
                <w:ilvl w:val="0"/>
                <w:numId w:val="48"/>
              </w:numPr>
              <w:shd w:val="clear" w:color="auto" w:fill="FFFFFF"/>
              <w:spacing w:before="60" w:after="60"/>
              <w:rPr>
                <w:rFonts w:asciiTheme="majorHAnsi" w:hAnsiTheme="majorHAnsi" w:cs="Calibri"/>
                <w:b/>
                <w:bCs/>
                <w:sz w:val="22"/>
                <w:lang w:val="en-GB" w:eastAsia="en-GB"/>
              </w:rPr>
            </w:pPr>
            <w:r w:rsidRPr="00B951D4">
              <w:rPr>
                <w:rFonts w:asciiTheme="majorHAnsi" w:hAnsiTheme="majorHAnsi" w:cs="Calibri"/>
                <w:sz w:val="22"/>
                <w:lang w:val="en-GB" w:eastAsia="en-GB"/>
              </w:rPr>
              <w:lastRenderedPageBreak/>
              <w:t xml:space="preserve">Who are the </w:t>
            </w:r>
            <w:r w:rsidRPr="00B951D4">
              <w:rPr>
                <w:rFonts w:asciiTheme="majorHAnsi" w:hAnsiTheme="majorHAnsi" w:cs="Calibri"/>
                <w:b/>
                <w:bCs/>
                <w:sz w:val="22"/>
                <w:lang w:val="en-GB" w:eastAsia="en-GB"/>
              </w:rPr>
              <w:t>key actors and stakeholders</w:t>
            </w:r>
            <w:r w:rsidRPr="00B951D4">
              <w:rPr>
                <w:rFonts w:asciiTheme="majorHAnsi" w:hAnsiTheme="majorHAnsi" w:cs="Calibri"/>
                <w:sz w:val="22"/>
                <w:lang w:val="en-GB" w:eastAsia="en-GB"/>
              </w:rPr>
              <w:t xml:space="preserve"> involved in the design and implementation of the </w:t>
            </w:r>
            <w:r w:rsidR="00F76639" w:rsidRPr="00B951D4">
              <w:rPr>
                <w:rFonts w:asciiTheme="majorHAnsi" w:hAnsiTheme="majorHAnsi" w:cs="Calibri"/>
                <w:sz w:val="22"/>
                <w:lang w:val="en-GB" w:eastAsia="en-GB"/>
              </w:rPr>
              <w:t>good practice</w:t>
            </w:r>
            <w:r w:rsidRPr="00B951D4">
              <w:rPr>
                <w:rFonts w:asciiTheme="majorHAnsi" w:hAnsiTheme="majorHAnsi" w:cs="Calibri"/>
                <w:sz w:val="22"/>
                <w:lang w:val="en-GB" w:eastAsia="en-GB"/>
              </w:rPr>
              <w:t xml:space="preserve">, and what are their respective roles? </w:t>
            </w:r>
            <w:r w:rsidRPr="00B951D4">
              <w:rPr>
                <w:rFonts w:asciiTheme="majorHAnsi" w:hAnsiTheme="majorHAnsi" w:cs="Calibri"/>
                <w:i/>
                <w:iCs/>
                <w:sz w:val="22"/>
                <w:lang w:val="en-GB" w:eastAsia="en-GB"/>
              </w:rPr>
              <w:t>Consider</w:t>
            </w:r>
            <w:r w:rsidR="005F39A2" w:rsidRPr="00B951D4">
              <w:rPr>
                <w:rFonts w:asciiTheme="majorHAnsi" w:hAnsiTheme="majorHAnsi" w:cs="Calibri"/>
                <w:i/>
                <w:iCs/>
                <w:sz w:val="22"/>
                <w:lang w:val="en-GB" w:eastAsia="en-GB"/>
              </w:rPr>
              <w:t xml:space="preserve"> </w:t>
            </w:r>
            <w:r w:rsidRPr="00B951D4">
              <w:rPr>
                <w:rFonts w:asciiTheme="majorHAnsi" w:hAnsiTheme="majorHAnsi" w:cs="Calibri"/>
                <w:i/>
                <w:iCs/>
                <w:sz w:val="22"/>
                <w:lang w:val="en-GB" w:eastAsia="en-GB"/>
              </w:rPr>
              <w:t>local partners, government, local authorities, community radios, civil society, research, the private sector, etc.</w:t>
            </w:r>
          </w:p>
          <w:p w14:paraId="522181A3" w14:textId="77777777" w:rsidR="00BF09F0" w:rsidRPr="00B951D4" w:rsidRDefault="00BF09F0" w:rsidP="00D1449F">
            <w:pPr>
              <w:shd w:val="clear" w:color="auto" w:fill="FFFFFF"/>
              <w:spacing w:before="60" w:after="60"/>
              <w:rPr>
                <w:rFonts w:asciiTheme="majorHAnsi" w:hAnsiTheme="majorHAnsi"/>
                <w:sz w:val="22"/>
              </w:rPr>
            </w:pPr>
          </w:p>
          <w:p w14:paraId="3978F342" w14:textId="77777777" w:rsidR="00C11C4F" w:rsidRPr="00B951D4" w:rsidRDefault="00C11C4F" w:rsidP="00C11C4F">
            <w:pPr>
              <w:spacing w:after="0"/>
              <w:rPr>
                <w:rFonts w:asciiTheme="majorHAnsi" w:hAnsiTheme="majorHAnsi"/>
                <w:color w:val="0E101A"/>
                <w:sz w:val="22"/>
              </w:rPr>
            </w:pPr>
            <w:r w:rsidRPr="00B951D4">
              <w:rPr>
                <w:rFonts w:asciiTheme="majorHAnsi" w:hAnsiTheme="majorHAnsi"/>
                <w:color w:val="0E101A"/>
                <w:sz w:val="22"/>
              </w:rPr>
              <w:t xml:space="preserve">The overarching coordination and strategic direction of the good practice are managed by the </w:t>
            </w:r>
            <w:r w:rsidRPr="00EF508F">
              <w:rPr>
                <w:rFonts w:asciiTheme="majorHAnsi" w:hAnsiTheme="majorHAnsi"/>
                <w:color w:val="0E101A"/>
                <w:sz w:val="22"/>
              </w:rPr>
              <w:t>Gaza Urban and Peri-Urban Agriculture Platform (GUPAP).</w:t>
            </w:r>
            <w:r w:rsidRPr="00B951D4">
              <w:rPr>
                <w:rFonts w:asciiTheme="majorHAnsi" w:hAnsiTheme="majorHAnsi"/>
                <w:color w:val="0E101A"/>
                <w:sz w:val="22"/>
              </w:rPr>
              <w:t xml:space="preserve"> As the lead organization, GUPAP designs and oversees advocacy campaigns to integrate urban agriculture into Gaza's agricultural policies. It also mobilizes financial resources through partnerships with local and international donors, ensuring the sustainability of interventions. GUPAP directly supports community-led initiatives like community-led solidarity marketing campaigns and the Community-Led Family Farming Advisory Services (CLFFAS), providing technical expertise and fostering collective action among agripreneurs.</w:t>
            </w:r>
          </w:p>
          <w:p w14:paraId="7825422F" w14:textId="3A4625B2" w:rsidR="00B951D4" w:rsidRPr="00B951D4" w:rsidRDefault="00B951D4" w:rsidP="00D1449F">
            <w:pPr>
              <w:spacing w:after="0"/>
              <w:rPr>
                <w:rFonts w:asciiTheme="majorHAnsi" w:hAnsiTheme="majorHAnsi"/>
                <w:color w:val="0E101A"/>
                <w:sz w:val="22"/>
              </w:rPr>
            </w:pPr>
            <w:r w:rsidRPr="00361F28">
              <w:rPr>
                <w:rFonts w:asciiTheme="majorHAnsi" w:hAnsiTheme="majorHAnsi"/>
                <w:color w:val="0E101A"/>
                <w:sz w:val="22"/>
              </w:rPr>
              <w:t>Urban Women Agripreneurs Forum (UWAF),</w:t>
            </w:r>
            <w:r w:rsidRPr="00B951D4">
              <w:rPr>
                <w:rFonts w:asciiTheme="majorHAnsi" w:hAnsiTheme="majorHAnsi"/>
                <w:color w:val="0E101A"/>
                <w:sz w:val="22"/>
              </w:rPr>
              <w:t xml:space="preserve"> a platform that </w:t>
            </w:r>
            <w:r w:rsidR="00C11C4F">
              <w:rPr>
                <w:rFonts w:asciiTheme="majorHAnsi" w:hAnsiTheme="majorHAnsi"/>
                <w:color w:val="0E101A"/>
                <w:sz w:val="22"/>
              </w:rPr>
              <w:t xml:space="preserve">GUPAP </w:t>
            </w:r>
            <w:r w:rsidRPr="00B951D4">
              <w:rPr>
                <w:rFonts w:asciiTheme="majorHAnsi" w:hAnsiTheme="majorHAnsi"/>
                <w:color w:val="0E101A"/>
                <w:sz w:val="22"/>
              </w:rPr>
              <w:t xml:space="preserve">organizes and empowers over </w:t>
            </w:r>
            <w:r w:rsidR="002D266B">
              <w:rPr>
                <w:rFonts w:asciiTheme="majorHAnsi" w:hAnsiTheme="majorHAnsi"/>
                <w:color w:val="0E101A"/>
                <w:sz w:val="22"/>
              </w:rPr>
              <w:t>500</w:t>
            </w:r>
            <w:r w:rsidRPr="00B951D4">
              <w:rPr>
                <w:rFonts w:asciiTheme="majorHAnsi" w:hAnsiTheme="majorHAnsi"/>
                <w:color w:val="0E101A"/>
                <w:sz w:val="22"/>
              </w:rPr>
              <w:t xml:space="preserve"> women agripreneurs in Gaza. </w:t>
            </w:r>
            <w:r w:rsidR="00C11C4F">
              <w:rPr>
                <w:rFonts w:asciiTheme="majorHAnsi" w:hAnsiTheme="majorHAnsi"/>
                <w:color w:val="0E101A"/>
                <w:sz w:val="22"/>
              </w:rPr>
              <w:t xml:space="preserve">Through GUPAP’s support, </w:t>
            </w:r>
            <w:r w:rsidRPr="00B951D4">
              <w:rPr>
                <w:rFonts w:asciiTheme="majorHAnsi" w:hAnsiTheme="majorHAnsi"/>
                <w:color w:val="0E101A"/>
                <w:sz w:val="22"/>
              </w:rPr>
              <w:t>UWAF leads participatory needs and capacity assessments, ensuring that interventions are tailored to the specific challenges faced by women in urban agriculture. It also facilitates equitable resource distribution, such as agricultural inputs and financial support, ensuring that marginalized women agripreneurs have the tools they need to succeed. Beyond implementation, UWAF serves as a critical advocacy space, amplifying the voices of women agripreneurs in policy dialogues and pushing for their inclusion in food aid programs and local governance structures.</w:t>
            </w:r>
          </w:p>
          <w:p w14:paraId="786B6535" w14:textId="70FAD861" w:rsidR="00B951D4" w:rsidRDefault="00B951D4" w:rsidP="00B154A2">
            <w:pPr>
              <w:spacing w:after="0"/>
              <w:rPr>
                <w:rFonts w:asciiTheme="majorHAnsi" w:hAnsiTheme="majorHAnsi"/>
                <w:color w:val="0E101A"/>
                <w:sz w:val="22"/>
              </w:rPr>
            </w:pPr>
            <w:r w:rsidRPr="00C4224F">
              <w:rPr>
                <w:rFonts w:asciiTheme="majorHAnsi" w:hAnsiTheme="majorHAnsi"/>
                <w:color w:val="0E101A"/>
                <w:sz w:val="22"/>
              </w:rPr>
              <w:t>International donors and advocacy networks</w:t>
            </w:r>
            <w:r w:rsidRPr="00B951D4">
              <w:rPr>
                <w:rFonts w:asciiTheme="majorHAnsi" w:hAnsiTheme="majorHAnsi"/>
                <w:color w:val="0E101A"/>
                <w:sz w:val="22"/>
              </w:rPr>
              <w:t xml:space="preserve">, including </w:t>
            </w:r>
            <w:r w:rsidR="00B154A2" w:rsidRPr="00B951D4">
              <w:rPr>
                <w:rFonts w:asciiTheme="majorHAnsi" w:hAnsiTheme="majorHAnsi"/>
                <w:color w:val="0E101A"/>
                <w:sz w:val="22"/>
              </w:rPr>
              <w:t>Zayed Sustainability Prize</w:t>
            </w:r>
            <w:r w:rsidR="00B154A2" w:rsidRPr="00B154A2">
              <w:rPr>
                <w:rFonts w:asciiTheme="majorHAnsi" w:hAnsiTheme="majorHAnsi"/>
                <w:color w:val="0E101A"/>
                <w:sz w:val="22"/>
              </w:rPr>
              <w:t xml:space="preserve"> </w:t>
            </w:r>
            <w:r w:rsidR="00B154A2">
              <w:rPr>
                <w:rFonts w:asciiTheme="majorHAnsi" w:hAnsiTheme="majorHAnsi"/>
                <w:color w:val="0E101A"/>
                <w:sz w:val="22"/>
              </w:rPr>
              <w:t xml:space="preserve">(ZSP-UAE), </w:t>
            </w:r>
            <w:r w:rsidR="00B154A2" w:rsidRPr="00B154A2">
              <w:rPr>
                <w:rFonts w:asciiTheme="majorHAnsi" w:hAnsiTheme="majorHAnsi"/>
                <w:color w:val="0E101A"/>
                <w:sz w:val="22"/>
              </w:rPr>
              <w:t>UN-OCHA FSS Clusters, French Consulate-Jerusalem, CCFD-France, MADRE, AIDOS-Italy, Habitat International Coalition (HIC-Geneva/Cairo), RUAF, UN-FAO, UN-WFP, UNDFF, ICRC, RtFN-Germany, Civil Society and Indigenous Peoples Mechanism (CSIPM) of the UN-CFS, UN-Habitat, Arab Forum for Rural Advisory Services (FAO/IFAD), World Urban Forum (WUF), Global Garden for Peace, Sustain-Australia,</w:t>
            </w:r>
            <w:r w:rsidR="00B154A2">
              <w:rPr>
                <w:rFonts w:asciiTheme="majorHAnsi" w:hAnsiTheme="majorHAnsi"/>
                <w:color w:val="0E101A"/>
                <w:sz w:val="22"/>
              </w:rPr>
              <w:t xml:space="preserve"> </w:t>
            </w:r>
            <w:r w:rsidR="00B154A2" w:rsidRPr="00B154A2">
              <w:rPr>
                <w:rFonts w:asciiTheme="majorHAnsi" w:hAnsiTheme="majorHAnsi"/>
                <w:color w:val="0E101A"/>
                <w:sz w:val="22"/>
              </w:rPr>
              <w:t>LUSH Spring Prize-UK,</w:t>
            </w:r>
            <w:r w:rsidR="00B154A2">
              <w:rPr>
                <w:rFonts w:asciiTheme="majorHAnsi" w:hAnsiTheme="majorHAnsi"/>
                <w:color w:val="0E101A"/>
                <w:sz w:val="22"/>
              </w:rPr>
              <w:t xml:space="preserve"> </w:t>
            </w:r>
            <w:r w:rsidRPr="00B951D4">
              <w:rPr>
                <w:rFonts w:asciiTheme="majorHAnsi" w:hAnsiTheme="majorHAnsi"/>
                <w:color w:val="0E101A"/>
                <w:sz w:val="22"/>
              </w:rPr>
              <w:t>provide critical financial and technical backing to ensure the practice's scalability and sustainability. Their contributions have funded initiatives such as reviving the community-led Al-Qarara Baladi Seed and agroecological training sessions. These partners also amplify the voices of Gaza's women agripreneurs through international advocacy efforts, publishing resilience and success stories, and disseminating educational content on sustainable farming practices to inspire action and solidarity globally.</w:t>
            </w:r>
          </w:p>
          <w:p w14:paraId="12FBE1FC" w14:textId="37B6A74A" w:rsidR="00C11C4F" w:rsidRPr="00B951D4" w:rsidRDefault="00C11C4F" w:rsidP="00C11C4F">
            <w:pPr>
              <w:spacing w:after="0"/>
              <w:rPr>
                <w:rFonts w:asciiTheme="majorHAnsi" w:hAnsiTheme="majorHAnsi"/>
                <w:color w:val="0E101A"/>
                <w:sz w:val="22"/>
              </w:rPr>
            </w:pPr>
            <w:r w:rsidRPr="00C4224F">
              <w:rPr>
                <w:rFonts w:asciiTheme="majorHAnsi" w:hAnsiTheme="majorHAnsi"/>
                <w:color w:val="0E101A"/>
                <w:sz w:val="22"/>
              </w:rPr>
              <w:t>Local civil society organizations,</w:t>
            </w:r>
            <w:r w:rsidRPr="00B951D4">
              <w:rPr>
                <w:rFonts w:asciiTheme="majorHAnsi" w:hAnsiTheme="majorHAnsi"/>
                <w:color w:val="0E101A"/>
                <w:sz w:val="22"/>
              </w:rPr>
              <w:t xml:space="preserve"> such as PNGO, Zakher, etc, are instrumental in strengthening the practice through their logistical support, community mobilization, and humanitarian assistance. These organizations collaborate in emergency interventions, such as food distribution and shelter support for displaced families, while also engaging in capacity-building activities to equip agripreneurs with community resources.</w:t>
            </w:r>
          </w:p>
          <w:p w14:paraId="4B169DF6" w14:textId="77777777" w:rsidR="00B951D4" w:rsidRPr="00B951D4" w:rsidRDefault="00B951D4" w:rsidP="00D1449F">
            <w:pPr>
              <w:spacing w:after="0"/>
              <w:rPr>
                <w:rFonts w:asciiTheme="majorHAnsi" w:hAnsiTheme="majorHAnsi"/>
                <w:color w:val="0E101A"/>
                <w:sz w:val="22"/>
              </w:rPr>
            </w:pPr>
            <w:r w:rsidRPr="00B951D4">
              <w:rPr>
                <w:rFonts w:asciiTheme="majorHAnsi" w:hAnsiTheme="majorHAnsi"/>
                <w:color w:val="0E101A"/>
                <w:sz w:val="22"/>
              </w:rPr>
              <w:t xml:space="preserve">The </w:t>
            </w:r>
            <w:r w:rsidRPr="00C4224F">
              <w:rPr>
                <w:rFonts w:asciiTheme="majorHAnsi" w:hAnsiTheme="majorHAnsi"/>
                <w:color w:val="0E101A"/>
                <w:sz w:val="22"/>
              </w:rPr>
              <w:t>private sector,</w:t>
            </w:r>
            <w:r w:rsidRPr="00B951D4">
              <w:rPr>
                <w:rFonts w:asciiTheme="majorHAnsi" w:hAnsiTheme="majorHAnsi"/>
                <w:color w:val="0E101A"/>
                <w:sz w:val="22"/>
              </w:rPr>
              <w:t xml:space="preserve"> particularly local suppliers and markets, strengthens the supply chain for agricultural inputs and connects agripreneurs with local markets. By supplying seeds, tools, and raw materials at fair prices, the private sector ensures that agripreneurs have access to the resources needed for production. Additionally, they collaborate in community-led solidarity marketing campaigns, promoting local produce and supporting Gaza's economic resilience.</w:t>
            </w:r>
          </w:p>
          <w:p w14:paraId="3DB6CA66" w14:textId="77777777" w:rsidR="00B951D4" w:rsidRPr="00B951D4" w:rsidRDefault="00B951D4" w:rsidP="00D1449F">
            <w:pPr>
              <w:spacing w:after="0"/>
              <w:rPr>
                <w:rFonts w:asciiTheme="majorHAnsi" w:hAnsiTheme="majorHAnsi"/>
                <w:color w:val="0E101A"/>
                <w:sz w:val="22"/>
              </w:rPr>
            </w:pPr>
            <w:r w:rsidRPr="00C4224F">
              <w:rPr>
                <w:rFonts w:asciiTheme="majorHAnsi" w:hAnsiTheme="majorHAnsi"/>
                <w:color w:val="0E101A"/>
                <w:sz w:val="22"/>
              </w:rPr>
              <w:t>Local authorities and decision-makers</w:t>
            </w:r>
            <w:r w:rsidRPr="00B951D4">
              <w:rPr>
                <w:rFonts w:asciiTheme="majorHAnsi" w:hAnsiTheme="majorHAnsi"/>
                <w:color w:val="0E101A"/>
                <w:sz w:val="22"/>
              </w:rPr>
              <w:t xml:space="preserve"> are crucial in aligning policies with the practice's goals. They provide technical, regulatory approvals, and logistical support for urban farming interventions and participate in advocacy discussions led by GUPAP and UWAF. Their involvement ensures that gender-equitable food systems and urban agricultural transformation are institutionalized within Gaza's resilience, recovery, and reconstruction plans.</w:t>
            </w:r>
          </w:p>
          <w:p w14:paraId="287F7157" w14:textId="7B1406D9" w:rsidR="00B951D4" w:rsidRPr="00B951D4" w:rsidRDefault="00B951D4" w:rsidP="00D1449F">
            <w:pPr>
              <w:spacing w:after="0"/>
              <w:rPr>
                <w:rFonts w:asciiTheme="majorHAnsi" w:hAnsiTheme="majorHAnsi"/>
                <w:color w:val="0E101A"/>
                <w:sz w:val="22"/>
              </w:rPr>
            </w:pPr>
            <w:r w:rsidRPr="00B951D4">
              <w:rPr>
                <w:rFonts w:asciiTheme="majorHAnsi" w:hAnsiTheme="majorHAnsi"/>
                <w:color w:val="0E101A"/>
                <w:sz w:val="22"/>
              </w:rPr>
              <w:lastRenderedPageBreak/>
              <w:t xml:space="preserve">Finally, </w:t>
            </w:r>
            <w:r w:rsidRPr="00C4224F">
              <w:rPr>
                <w:rFonts w:asciiTheme="majorHAnsi" w:hAnsiTheme="majorHAnsi"/>
                <w:color w:val="0E101A"/>
                <w:sz w:val="22"/>
              </w:rPr>
              <w:t>research and academic institutions</w:t>
            </w:r>
            <w:r w:rsidRPr="00B951D4">
              <w:rPr>
                <w:rFonts w:asciiTheme="majorHAnsi" w:hAnsiTheme="majorHAnsi"/>
                <w:color w:val="0E101A"/>
                <w:sz w:val="22"/>
              </w:rPr>
              <w:t xml:space="preserve"> enhance the evidence base for urban agricultural practices. These institutions conduct studies on the impacts of agroecological interventions and resilience strategies, providing valuable insights that inform the </w:t>
            </w:r>
            <w:r w:rsidR="00C4224F">
              <w:rPr>
                <w:rFonts w:asciiTheme="majorHAnsi" w:hAnsiTheme="majorHAnsi"/>
                <w:color w:val="0E101A"/>
                <w:sz w:val="22"/>
              </w:rPr>
              <w:t>improving</w:t>
            </w:r>
            <w:r w:rsidRPr="00B951D4">
              <w:rPr>
                <w:rFonts w:asciiTheme="majorHAnsi" w:hAnsiTheme="majorHAnsi"/>
                <w:color w:val="0E101A"/>
                <w:sz w:val="22"/>
              </w:rPr>
              <w:t xml:space="preserve"> and scaling of GUPAP's initiatives. They also collaborate in developing technical guides and policy briefs, ensuring the practice is grounded in rigorous analysis and aligned with broader development frameworks. </w:t>
            </w:r>
          </w:p>
          <w:p w14:paraId="1E52AA81" w14:textId="66E7D961" w:rsidR="00BF09F0" w:rsidRPr="00B951D4" w:rsidRDefault="00BF09F0" w:rsidP="00D1449F">
            <w:pPr>
              <w:shd w:val="clear" w:color="auto" w:fill="FFFFFF"/>
              <w:spacing w:before="60" w:after="60"/>
              <w:rPr>
                <w:rFonts w:asciiTheme="majorHAnsi" w:hAnsiTheme="majorHAnsi" w:cs="Calibri"/>
                <w:b/>
                <w:bCs/>
                <w:sz w:val="22"/>
                <w:lang w:eastAsia="en-GB"/>
              </w:rPr>
            </w:pPr>
          </w:p>
        </w:tc>
      </w:tr>
      <w:tr w:rsidR="00663985" w:rsidRPr="00A32CD9" w14:paraId="7CAB1FBA" w14:textId="77777777" w:rsidTr="00450FCD">
        <w:trPr>
          <w:trHeight w:val="2755"/>
        </w:trPr>
        <w:tc>
          <w:tcPr>
            <w:tcW w:w="5000" w:type="pct"/>
            <w:gridSpan w:val="2"/>
          </w:tcPr>
          <w:p w14:paraId="4174B2E4" w14:textId="4EAC4223" w:rsidR="00EB4A88" w:rsidRPr="00A32CD9" w:rsidRDefault="00663985" w:rsidP="00D1449F">
            <w:pPr>
              <w:pStyle w:val="ListParagraph"/>
              <w:numPr>
                <w:ilvl w:val="0"/>
                <w:numId w:val="48"/>
              </w:numPr>
              <w:rPr>
                <w:rFonts w:asciiTheme="majorHAnsi" w:hAnsiTheme="majorHAnsi" w:cs="Calibri"/>
                <w:sz w:val="22"/>
                <w:lang w:val="en-GB" w:eastAsia="en-GB"/>
              </w:rPr>
            </w:pPr>
            <w:r w:rsidRPr="00A32CD9">
              <w:rPr>
                <w:rFonts w:asciiTheme="majorHAnsi" w:hAnsiTheme="majorHAnsi" w:cs="Calibri"/>
                <w:sz w:val="22"/>
                <w:lang w:val="en-GB" w:eastAsia="en-GB"/>
              </w:rPr>
              <w:lastRenderedPageBreak/>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584F26AB" w14:textId="77777777" w:rsidR="00663985" w:rsidRDefault="00292C3B" w:rsidP="00D1449F">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63630180" w14:textId="77777777" w:rsidR="00CD2EF4" w:rsidRDefault="00CD2EF4" w:rsidP="00D1449F">
            <w:pPr>
              <w:rPr>
                <w:rFonts w:asciiTheme="majorHAnsi" w:hAnsiTheme="majorHAnsi" w:cs="Calibri"/>
                <w:sz w:val="22"/>
                <w:lang w:eastAsia="en-GB"/>
              </w:rPr>
            </w:pPr>
          </w:p>
          <w:p w14:paraId="4D6B895F" w14:textId="094162D7" w:rsidR="00CD2EF4" w:rsidRPr="00CD2EF4" w:rsidRDefault="00CD2EF4" w:rsidP="00D1449F">
            <w:pPr>
              <w:rPr>
                <w:rFonts w:asciiTheme="majorHAnsi" w:hAnsiTheme="majorHAnsi" w:cs="Calibri"/>
                <w:sz w:val="22"/>
                <w:lang w:eastAsia="en-GB"/>
              </w:rPr>
            </w:pPr>
            <w:r w:rsidRPr="00CD2EF4">
              <w:rPr>
                <w:rFonts w:asciiTheme="majorHAnsi" w:hAnsiTheme="majorHAnsi" w:cs="Calibri"/>
                <w:sz w:val="22"/>
                <w:lang w:eastAsia="en-GB"/>
              </w:rPr>
              <w:t xml:space="preserve">Central to the intervention is its </w:t>
            </w:r>
            <w:r w:rsidRPr="00E30E81">
              <w:rPr>
                <w:rFonts w:asciiTheme="majorHAnsi" w:hAnsiTheme="majorHAnsi" w:cs="Calibri"/>
                <w:sz w:val="22"/>
                <w:lang w:eastAsia="en-GB"/>
              </w:rPr>
              <w:t>gender-responsive and transformative approach</w:t>
            </w:r>
            <w:r w:rsidRPr="00CD2EF4">
              <w:rPr>
                <w:rFonts w:asciiTheme="majorHAnsi" w:hAnsiTheme="majorHAnsi" w:cs="Calibri"/>
                <w:sz w:val="22"/>
                <w:lang w:eastAsia="en-GB"/>
              </w:rPr>
              <w:t xml:space="preserve">, which prioritizes the empowerment of women agripreneurs. By addressing the systemic challenges, they face—such as restricted access to resources, exclusion from decision-making, and entrenched societal norms—the intervention creates pathways for leadership and agency. Through UWAF, over </w:t>
            </w:r>
            <w:r w:rsidR="002D266B">
              <w:rPr>
                <w:rFonts w:asciiTheme="majorHAnsi" w:hAnsiTheme="majorHAnsi" w:cs="Calibri"/>
                <w:sz w:val="22"/>
                <w:lang w:eastAsia="en-GB"/>
              </w:rPr>
              <w:t>500</w:t>
            </w:r>
            <w:r w:rsidRPr="00CD2EF4">
              <w:rPr>
                <w:rFonts w:asciiTheme="majorHAnsi" w:hAnsiTheme="majorHAnsi" w:cs="Calibri"/>
                <w:sz w:val="22"/>
                <w:lang w:eastAsia="en-GB"/>
              </w:rPr>
              <w:t xml:space="preserve"> women agripreneurs participate directly in decision-making, resource distribution, and solidarity marketing campaigns. Leadership training and advocacy platforms equip women with the tools to challenge discriminatory norms and advocate for their inclusion in recovery and policy frameworks. These gender-transformative efforts aim to increase participation and shift societal attitudes and power dynamics, creating long-term systemic change.</w:t>
            </w:r>
          </w:p>
          <w:p w14:paraId="3181E133" w14:textId="1CB4C9D7" w:rsidR="00CD2EF4" w:rsidRPr="00CD2EF4" w:rsidRDefault="00CD2EF4" w:rsidP="00D1449F">
            <w:pPr>
              <w:rPr>
                <w:rFonts w:asciiTheme="majorHAnsi" w:hAnsiTheme="majorHAnsi" w:cs="Calibri"/>
                <w:sz w:val="22"/>
                <w:lang w:eastAsia="en-GB"/>
              </w:rPr>
            </w:pPr>
            <w:r w:rsidRPr="00CD2EF4">
              <w:rPr>
                <w:rFonts w:asciiTheme="majorHAnsi" w:hAnsiTheme="majorHAnsi" w:cs="Calibri"/>
                <w:sz w:val="22"/>
                <w:lang w:eastAsia="en-GB"/>
              </w:rPr>
              <w:t xml:space="preserve">The intervention also strongly emphasizes </w:t>
            </w:r>
            <w:r w:rsidRPr="00E30E81">
              <w:rPr>
                <w:rFonts w:asciiTheme="majorHAnsi" w:hAnsiTheme="majorHAnsi" w:cs="Calibri"/>
                <w:sz w:val="22"/>
                <w:lang w:eastAsia="en-GB"/>
              </w:rPr>
              <w:t>vulnerable groups affected by prolonged crises</w:t>
            </w:r>
            <w:r w:rsidRPr="00CD2EF4">
              <w:rPr>
                <w:rFonts w:asciiTheme="majorHAnsi" w:hAnsiTheme="majorHAnsi" w:cs="Calibri"/>
                <w:sz w:val="22"/>
                <w:lang w:eastAsia="en-GB"/>
              </w:rPr>
              <w:t xml:space="preserve">, such as displaced families and low-income households. Displacement due to </w:t>
            </w:r>
            <w:r w:rsidR="00E30E81">
              <w:rPr>
                <w:rFonts w:asciiTheme="majorHAnsi" w:hAnsiTheme="majorHAnsi" w:cs="Calibri"/>
                <w:sz w:val="22"/>
                <w:lang w:eastAsia="en-GB"/>
              </w:rPr>
              <w:t xml:space="preserve">current continuous </w:t>
            </w:r>
            <w:r w:rsidRPr="00CD2EF4">
              <w:rPr>
                <w:rFonts w:asciiTheme="majorHAnsi" w:hAnsiTheme="majorHAnsi" w:cs="Calibri"/>
                <w:sz w:val="22"/>
                <w:lang w:eastAsia="en-GB"/>
              </w:rPr>
              <w:t>conflict has disproportionately impacted women agripreneurs, who often lose access to their means of production and livelihoods. GUPAP prioritizes these families in distributing agricultural inputs and cash grants, ensuring they have the resources needed to rebuild. Community-led kitchens serve as social space for displaced women agripreneurs, allowing them to regain livelihoods while addressing food insecurity within their communities. For displaced and low-income households, solidarity marketing campaigns ensure that the food produced by agripreneurs is accessible and affordable, creating a cycle of mutual benefit within the community.</w:t>
            </w:r>
          </w:p>
          <w:p w14:paraId="5EA921AA" w14:textId="77777777" w:rsidR="00CD2EF4" w:rsidRPr="00CD2EF4" w:rsidRDefault="00CD2EF4" w:rsidP="00D1449F">
            <w:pPr>
              <w:rPr>
                <w:rFonts w:asciiTheme="majorHAnsi" w:hAnsiTheme="majorHAnsi" w:cs="Calibri"/>
                <w:sz w:val="22"/>
                <w:lang w:eastAsia="en-GB"/>
              </w:rPr>
            </w:pPr>
            <w:r w:rsidRPr="00CD2EF4">
              <w:rPr>
                <w:rFonts w:asciiTheme="majorHAnsi" w:hAnsiTheme="majorHAnsi" w:cs="Calibri"/>
                <w:sz w:val="22"/>
                <w:lang w:eastAsia="en-GB"/>
              </w:rPr>
              <w:t xml:space="preserve">Inclusivity extends to </w:t>
            </w:r>
            <w:r w:rsidRPr="00E30E81">
              <w:rPr>
                <w:rFonts w:asciiTheme="majorHAnsi" w:hAnsiTheme="majorHAnsi" w:cs="Calibri"/>
                <w:sz w:val="22"/>
                <w:lang w:eastAsia="en-GB"/>
              </w:rPr>
              <w:t>youth and marginalized groups</w:t>
            </w:r>
            <w:r w:rsidRPr="00CD2EF4">
              <w:rPr>
                <w:rFonts w:asciiTheme="majorHAnsi" w:hAnsiTheme="majorHAnsi" w:cs="Calibri"/>
                <w:sz w:val="22"/>
                <w:lang w:eastAsia="en-GB"/>
              </w:rPr>
              <w:t xml:space="preserve"> actively engaged in participatory learning sessions and peer-to-peer knowledge-sharing networks. Young agripreneurs are given opportunities to learn agroecological practices and climate-resilient farming techniques, ensuring their active participation in sustainable agriculture. Digital tools such as WhatsApp groups enhance inclusivity by enabling real-time technical support and knowledge exchange, particularly for youth.</w:t>
            </w:r>
          </w:p>
          <w:p w14:paraId="197D632F" w14:textId="77777777" w:rsidR="00CD2EF4" w:rsidRPr="00CD2EF4" w:rsidRDefault="00CD2EF4" w:rsidP="00D1449F">
            <w:pPr>
              <w:rPr>
                <w:rFonts w:asciiTheme="majorHAnsi" w:hAnsiTheme="majorHAnsi" w:cs="Calibri"/>
                <w:sz w:val="22"/>
                <w:lang w:eastAsia="en-GB"/>
              </w:rPr>
            </w:pPr>
            <w:r w:rsidRPr="00CD2EF4">
              <w:rPr>
                <w:rFonts w:asciiTheme="majorHAnsi" w:hAnsiTheme="majorHAnsi" w:cs="Calibri"/>
                <w:sz w:val="22"/>
                <w:lang w:eastAsia="en-GB"/>
              </w:rPr>
              <w:t xml:space="preserve">A specialty of GUPAP’s approach is its </w:t>
            </w:r>
            <w:r w:rsidRPr="00226DA0">
              <w:rPr>
                <w:rFonts w:asciiTheme="majorHAnsi" w:hAnsiTheme="majorHAnsi" w:cs="Calibri"/>
                <w:sz w:val="22"/>
                <w:lang w:eastAsia="en-GB"/>
              </w:rPr>
              <w:t>participatory planning and implementation strategies</w:t>
            </w:r>
            <w:r w:rsidRPr="00CD2EF4">
              <w:rPr>
                <w:rFonts w:asciiTheme="majorHAnsi" w:hAnsiTheme="majorHAnsi" w:cs="Calibri"/>
                <w:sz w:val="22"/>
                <w:lang w:eastAsia="en-GB"/>
              </w:rPr>
              <w:t>. Community-led needs and capacity assessments involve diverse stakeholders, allowing interventions to reflect the priorities of those most affected. The Community-Led Family Farming Advisory Services (CLFFAS) ensures marginalized groups have access to tailored support through hotlines and on-site visits. Peer-to-peer capacity-sharing networks strengthen solidarity and resilience as agripreneurs learn from one another and co-create solutions to shared challenges.</w:t>
            </w:r>
          </w:p>
          <w:p w14:paraId="7A52AF2E" w14:textId="77777777" w:rsidR="00CD2EF4" w:rsidRPr="00CD2EF4" w:rsidRDefault="00CD2EF4" w:rsidP="00D1449F">
            <w:pPr>
              <w:rPr>
                <w:rFonts w:asciiTheme="majorHAnsi" w:hAnsiTheme="majorHAnsi" w:cs="Calibri"/>
                <w:sz w:val="22"/>
                <w:lang w:eastAsia="en-GB"/>
              </w:rPr>
            </w:pPr>
            <w:r w:rsidRPr="00CD2EF4">
              <w:rPr>
                <w:rFonts w:asciiTheme="majorHAnsi" w:hAnsiTheme="majorHAnsi" w:cs="Calibri"/>
                <w:sz w:val="22"/>
                <w:lang w:eastAsia="en-GB"/>
              </w:rPr>
              <w:t xml:space="preserve">The intervention also adopts </w:t>
            </w:r>
            <w:r w:rsidRPr="00226DA0">
              <w:rPr>
                <w:rFonts w:asciiTheme="majorHAnsi" w:hAnsiTheme="majorHAnsi" w:cs="Calibri"/>
                <w:sz w:val="22"/>
                <w:lang w:eastAsia="en-GB"/>
              </w:rPr>
              <w:t>intersectionality as a core approach</w:t>
            </w:r>
            <w:r w:rsidRPr="00CD2EF4">
              <w:rPr>
                <w:rFonts w:asciiTheme="majorHAnsi" w:hAnsiTheme="majorHAnsi" w:cs="Calibri"/>
                <w:sz w:val="22"/>
                <w:lang w:eastAsia="en-GB"/>
              </w:rPr>
              <w:t xml:space="preserve">, recognizing that vulnerabilities often overlap across dimensions such as gender, age, displacement, and socioeconomic status. Tailored interventions address these barriers, such as providing low-cost agricultural inputs to </w:t>
            </w:r>
            <w:r w:rsidRPr="00CD2EF4">
              <w:rPr>
                <w:rFonts w:asciiTheme="majorHAnsi" w:hAnsiTheme="majorHAnsi" w:cs="Calibri"/>
                <w:sz w:val="22"/>
                <w:lang w:eastAsia="en-GB"/>
              </w:rPr>
              <w:lastRenderedPageBreak/>
              <w:t>displaced and low-income families and designing capacity-sharing sessions catering to displaced women’s specific needs. Community-led advocacy ensures these groups directly influence decisions that affect their livelihoods, embedding inclusivity into every layer of the practice.</w:t>
            </w:r>
          </w:p>
          <w:p w14:paraId="749469C8" w14:textId="5DDEED40" w:rsidR="00A74D31" w:rsidRPr="00CD2EF4" w:rsidRDefault="00CD2EF4" w:rsidP="00D1449F">
            <w:pPr>
              <w:rPr>
                <w:rFonts w:asciiTheme="majorHAnsi" w:hAnsiTheme="majorHAnsi" w:cs="Calibri"/>
                <w:sz w:val="22"/>
                <w:lang w:eastAsia="en-GB"/>
              </w:rPr>
            </w:pPr>
            <w:r w:rsidRPr="00CD2EF4">
              <w:rPr>
                <w:rFonts w:asciiTheme="majorHAnsi" w:hAnsiTheme="majorHAnsi" w:cs="Calibri"/>
                <w:sz w:val="22"/>
                <w:lang w:eastAsia="en-GB"/>
              </w:rPr>
              <w:t>The outcomes of this inclusive engagement are transformative. Social cohesion and solidarity are strengthened through participatory initiatives like community-led kitchens and collective farming projects. Women agripreneurs take on increased leadership roles, actively participating in policy dialogues and shaping local and national recovery plans. Access to nutritious food and sustainable livelihoods has improved for displaced families, low-income households, and other marginalized groups, reflecting the intervention’s deep commitment to fostering equity and resilience across Gaza’s urban agricultural sector.</w:t>
            </w:r>
          </w:p>
        </w:tc>
      </w:tr>
      <w:tr w:rsidR="00663985" w:rsidRPr="00A32CD9" w14:paraId="46F13989" w14:textId="77777777" w:rsidTr="00450FCD">
        <w:trPr>
          <w:trHeight w:val="369"/>
        </w:trPr>
        <w:tc>
          <w:tcPr>
            <w:tcW w:w="5000" w:type="pct"/>
            <w:gridSpan w:val="2"/>
          </w:tcPr>
          <w:p w14:paraId="12587F06" w14:textId="34ACFDC8" w:rsidR="00CA4871" w:rsidRPr="00A32CD9" w:rsidRDefault="00253493" w:rsidP="00D1449F">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4BA8268A" w14:textId="77777777" w:rsidR="00663985" w:rsidRDefault="00CD4301" w:rsidP="00D1449F">
            <w:pPr>
              <w:pStyle w:val="ListParagraph"/>
              <w:numPr>
                <w:ilvl w:val="0"/>
                <w:numId w:val="0"/>
              </w:numPr>
              <w:shd w:val="clear" w:color="auto" w:fill="FFFFFF"/>
              <w:spacing w:before="60" w:after="60"/>
              <w:ind w:left="720"/>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5489AE1F" w14:textId="77777777" w:rsidR="00A74D31" w:rsidRPr="00A74D31" w:rsidRDefault="00A74D31" w:rsidP="00D1449F">
            <w:pPr>
              <w:pStyle w:val="ListParagraph"/>
              <w:numPr>
                <w:ilvl w:val="0"/>
                <w:numId w:val="0"/>
              </w:numPr>
              <w:shd w:val="clear" w:color="auto" w:fill="FFFFFF"/>
              <w:spacing w:before="60" w:after="60"/>
              <w:ind w:left="720"/>
              <w:rPr>
                <w:rFonts w:asciiTheme="majorHAnsi" w:hAnsiTheme="majorHAnsi" w:cs="Calibri"/>
                <w:sz w:val="22"/>
                <w:lang w:eastAsia="en-GB"/>
              </w:rPr>
            </w:pPr>
          </w:p>
          <w:p w14:paraId="6B4E1531" w14:textId="32E4AF28" w:rsidR="00174FCE" w:rsidRPr="00174FCE" w:rsidRDefault="00174FCE" w:rsidP="00D1449F">
            <w:pPr>
              <w:shd w:val="clear" w:color="auto" w:fill="FFFFFF"/>
              <w:spacing w:before="60" w:after="60"/>
              <w:rPr>
                <w:rFonts w:asciiTheme="majorHAnsi" w:hAnsiTheme="majorHAnsi"/>
                <w:sz w:val="22"/>
              </w:rPr>
            </w:pPr>
            <w:r w:rsidRPr="00174FCE">
              <w:rPr>
                <w:rFonts w:asciiTheme="majorHAnsi" w:hAnsiTheme="majorHAnsi"/>
                <w:sz w:val="22"/>
              </w:rPr>
              <w:t xml:space="preserve">The intervention has achieved </w:t>
            </w:r>
            <w:r w:rsidRPr="00B63ACA">
              <w:rPr>
                <w:rFonts w:asciiTheme="majorHAnsi" w:hAnsiTheme="majorHAnsi"/>
                <w:sz w:val="22"/>
              </w:rPr>
              <w:t>quantitative successes</w:t>
            </w:r>
            <w:r w:rsidRPr="00174FCE">
              <w:rPr>
                <w:rFonts w:asciiTheme="majorHAnsi" w:hAnsiTheme="majorHAnsi"/>
                <w:sz w:val="22"/>
              </w:rPr>
              <w:t>, highlighting its effectiveness in restoring livelihoods and improving food security. For example, over 300 women-led small and micro-enterprises (SMEs) have regained their production capacity through the provision of agricultural inputs, cash assistance, and technical guidance. The community-led revival of the Al-Qarara Baladi Seed has supported 78 farming families, preserving indigenous seeds vital to local agricultural sustainability. Additionally, 50% of the Urban Women Agripreneurs Forum (UWAF) members have reported improved market access and increased income due to solidarity marketing campaigns and tailored support programs.</w:t>
            </w:r>
          </w:p>
          <w:p w14:paraId="2D8FE320" w14:textId="77777777" w:rsidR="00174FCE" w:rsidRPr="00174FCE" w:rsidRDefault="00174FCE" w:rsidP="00D1449F">
            <w:pPr>
              <w:shd w:val="clear" w:color="auto" w:fill="FFFFFF"/>
              <w:spacing w:before="60" w:after="60"/>
              <w:rPr>
                <w:rFonts w:asciiTheme="majorHAnsi" w:hAnsiTheme="majorHAnsi"/>
                <w:sz w:val="22"/>
              </w:rPr>
            </w:pPr>
            <w:r w:rsidRPr="00174FCE">
              <w:rPr>
                <w:rFonts w:asciiTheme="majorHAnsi" w:hAnsiTheme="majorHAnsi"/>
                <w:sz w:val="22"/>
              </w:rPr>
              <w:t>In terms of food security, the initiative has distributed 18 tons of locally produced food to more than 2,500 vulnerable families over the past two years. During the current crisis in Gaza, 16.5 tons of seasonal crops, including dates and olives, were provided to over 1,400 displaced families, addressing immediate food needs while simultaneously supporting local producers. The successful introduction of rooftop gardening has further enhanced food access, enabling few urban families to cultivate nutritious crops within limited spaces—a promising model for replication and scaling in similar crisis settings.</w:t>
            </w:r>
          </w:p>
          <w:p w14:paraId="040912E1" w14:textId="77777777" w:rsidR="00174FCE" w:rsidRPr="00174FCE" w:rsidRDefault="00174FCE" w:rsidP="00D1449F">
            <w:pPr>
              <w:shd w:val="clear" w:color="auto" w:fill="FFFFFF"/>
              <w:spacing w:before="60" w:after="60"/>
              <w:rPr>
                <w:rFonts w:asciiTheme="majorHAnsi" w:hAnsiTheme="majorHAnsi"/>
                <w:sz w:val="22"/>
              </w:rPr>
            </w:pPr>
            <w:r w:rsidRPr="00174FCE">
              <w:rPr>
                <w:rFonts w:asciiTheme="majorHAnsi" w:hAnsiTheme="majorHAnsi"/>
                <w:sz w:val="22"/>
              </w:rPr>
              <w:t xml:space="preserve">The intervention has also expanded women’s participation in </w:t>
            </w:r>
            <w:r w:rsidRPr="00B63ACA">
              <w:rPr>
                <w:rFonts w:asciiTheme="majorHAnsi" w:hAnsiTheme="majorHAnsi"/>
                <w:sz w:val="22"/>
              </w:rPr>
              <w:t>advocacy and policy dialogues</w:t>
            </w:r>
            <w:r w:rsidRPr="00174FCE">
              <w:rPr>
                <w:rFonts w:asciiTheme="majorHAnsi" w:hAnsiTheme="majorHAnsi"/>
                <w:sz w:val="22"/>
              </w:rPr>
              <w:t>, engaging 500 women agripreneurs to influence the integration of urban agriculture into Gaza’s recovery and reconstruction plans. Their active involvement has paved the way for broader recognition of urban agriculture’s role in local food systems and recovery frameworks.</w:t>
            </w:r>
          </w:p>
          <w:p w14:paraId="6B25E374" w14:textId="1551A2CF" w:rsidR="00174FCE" w:rsidRPr="00174FCE" w:rsidRDefault="00174FCE" w:rsidP="00D1449F">
            <w:pPr>
              <w:shd w:val="clear" w:color="auto" w:fill="FFFFFF"/>
              <w:spacing w:before="60" w:after="60"/>
              <w:rPr>
                <w:rFonts w:asciiTheme="majorHAnsi" w:hAnsiTheme="majorHAnsi"/>
                <w:sz w:val="22"/>
              </w:rPr>
            </w:pPr>
            <w:r w:rsidRPr="00174FCE">
              <w:rPr>
                <w:rFonts w:asciiTheme="majorHAnsi" w:hAnsiTheme="majorHAnsi"/>
                <w:sz w:val="22"/>
              </w:rPr>
              <w:t xml:space="preserve">The </w:t>
            </w:r>
            <w:r w:rsidRPr="00B63ACA">
              <w:rPr>
                <w:rFonts w:asciiTheme="majorHAnsi" w:hAnsiTheme="majorHAnsi"/>
                <w:sz w:val="22"/>
              </w:rPr>
              <w:t>qualitative impacts</w:t>
            </w:r>
            <w:r w:rsidRPr="00174FCE">
              <w:rPr>
                <w:rFonts w:asciiTheme="majorHAnsi" w:hAnsiTheme="majorHAnsi"/>
                <w:sz w:val="22"/>
              </w:rPr>
              <w:t xml:space="preserve"> of this good practice are equally transformative. Women agripreneurs have stepped into leadership roles, managing community-led solidarity marketing campaigns and advocating for gender equity in </w:t>
            </w:r>
            <w:r w:rsidR="0043169D">
              <w:rPr>
                <w:rFonts w:asciiTheme="majorHAnsi" w:hAnsiTheme="majorHAnsi"/>
                <w:sz w:val="22"/>
              </w:rPr>
              <w:t xml:space="preserve">local and </w:t>
            </w:r>
            <w:r w:rsidRPr="00174FCE">
              <w:rPr>
                <w:rFonts w:asciiTheme="majorHAnsi" w:hAnsiTheme="majorHAnsi"/>
                <w:sz w:val="22"/>
              </w:rPr>
              <w:t>national forums. These roles have fostered a sense of agency and collective empowerment, transforming women into key community leaders and role models. Restored social cohesion is another critical outcome, with community-led kitchens and collaborative farming initiatives strengthening bonds between displaced families and agripreneurs. These efforts have addressed immediate food insecurity and rebuilt trust and solidarity within fractured communities.</w:t>
            </w:r>
          </w:p>
          <w:p w14:paraId="2793CF4E" w14:textId="77777777" w:rsidR="00174FCE" w:rsidRPr="00174FCE" w:rsidRDefault="00174FCE" w:rsidP="00D1449F">
            <w:pPr>
              <w:shd w:val="clear" w:color="auto" w:fill="FFFFFF"/>
              <w:spacing w:before="60" w:after="60"/>
              <w:rPr>
                <w:rFonts w:asciiTheme="majorHAnsi" w:hAnsiTheme="majorHAnsi"/>
                <w:sz w:val="22"/>
              </w:rPr>
            </w:pPr>
            <w:r w:rsidRPr="00174FCE">
              <w:rPr>
                <w:rFonts w:asciiTheme="majorHAnsi" w:hAnsiTheme="majorHAnsi"/>
                <w:sz w:val="22"/>
              </w:rPr>
              <w:t>Knowledge and skills development have further amplified these successes. Through participatory capacity-sharing, women agripreneurs have adopted agroecological practices and water-efficient farming techniques, enhancing their productivity and climate resilience. The inspirational success stories of women agripreneurs have created a ripple effect, encouraging broader community participation in urban agriculture and fostering a culture of resilience and empowerment.</w:t>
            </w:r>
          </w:p>
          <w:p w14:paraId="6C84A80B" w14:textId="381E803B" w:rsidR="00174FCE" w:rsidRPr="00174FCE" w:rsidRDefault="00174FCE" w:rsidP="00D1449F">
            <w:pPr>
              <w:shd w:val="clear" w:color="auto" w:fill="FFFFFF"/>
              <w:spacing w:before="60" w:after="60"/>
              <w:rPr>
                <w:rFonts w:asciiTheme="majorHAnsi" w:hAnsiTheme="majorHAnsi"/>
                <w:sz w:val="22"/>
              </w:rPr>
            </w:pPr>
            <w:r w:rsidRPr="009E6517">
              <w:rPr>
                <w:rFonts w:asciiTheme="majorHAnsi" w:hAnsiTheme="majorHAnsi"/>
                <w:sz w:val="22"/>
              </w:rPr>
              <w:lastRenderedPageBreak/>
              <w:t>Specific examples</w:t>
            </w:r>
            <w:r w:rsidRPr="00174FCE">
              <w:rPr>
                <w:rFonts w:asciiTheme="majorHAnsi" w:hAnsiTheme="majorHAnsi"/>
                <w:sz w:val="22"/>
              </w:rPr>
              <w:t xml:space="preserve"> of the intervention’s effectiveness underscore its broad impact. Community-led solidarity marketing campaigns have enabled women agripreneurs to generate income while ensuring access to affordable, nutritious food for displaced families. One campaign, for instance, facilitated a cooperative of 15 women agripreneurs to sell surplus processed date produce, benefiting 200 families in their community. The revival of the Al-Qarara Baladi Seed Bank is another standout achievement, restoring access to indigenous seeds and enhancing local food </w:t>
            </w:r>
            <w:r w:rsidR="009E6517">
              <w:rPr>
                <w:rFonts w:asciiTheme="majorHAnsi" w:hAnsiTheme="majorHAnsi"/>
                <w:sz w:val="22"/>
              </w:rPr>
              <w:t>resilience</w:t>
            </w:r>
            <w:r w:rsidRPr="00174FCE">
              <w:rPr>
                <w:rFonts w:asciiTheme="majorHAnsi" w:hAnsiTheme="majorHAnsi"/>
                <w:sz w:val="22"/>
              </w:rPr>
              <w:t xml:space="preserve"> while reducing dependency on costly imports. Participatory training sessions on seed preservation have empowered urban and peri-urban farming families to secure sustainable agricultural practices.</w:t>
            </w:r>
          </w:p>
          <w:p w14:paraId="382F9D7D" w14:textId="77777777" w:rsidR="00174FCE" w:rsidRPr="00174FCE" w:rsidRDefault="00174FCE" w:rsidP="00D1449F">
            <w:pPr>
              <w:shd w:val="clear" w:color="auto" w:fill="FFFFFF"/>
              <w:spacing w:before="60" w:after="60"/>
              <w:rPr>
                <w:rFonts w:asciiTheme="majorHAnsi" w:hAnsiTheme="majorHAnsi"/>
                <w:sz w:val="22"/>
              </w:rPr>
            </w:pPr>
            <w:r w:rsidRPr="00174FCE">
              <w:rPr>
                <w:rFonts w:asciiTheme="majorHAnsi" w:hAnsiTheme="majorHAnsi"/>
                <w:sz w:val="22"/>
              </w:rPr>
              <w:t>GUPAP’s advocacy efforts have highlighted the necessity of integrating urban agriculture into local recovery plans, with women agripreneurs now actively influencing food aid supply chains. Their contributions are increasingly recognized and rewarded, demonstrating the systemic impact of this intervention.</w:t>
            </w:r>
          </w:p>
          <w:p w14:paraId="6E517B39" w14:textId="013AFB9F" w:rsidR="007B3BAC" w:rsidRPr="00174FCE" w:rsidRDefault="00174FCE" w:rsidP="00D1449F">
            <w:pPr>
              <w:shd w:val="clear" w:color="auto" w:fill="FFFFFF"/>
              <w:spacing w:before="60" w:after="60"/>
              <w:rPr>
                <w:rFonts w:asciiTheme="majorHAnsi" w:hAnsiTheme="majorHAnsi"/>
                <w:sz w:val="22"/>
              </w:rPr>
            </w:pPr>
            <w:r w:rsidRPr="00174FCE">
              <w:rPr>
                <w:rFonts w:asciiTheme="majorHAnsi" w:hAnsiTheme="majorHAnsi"/>
                <w:sz w:val="22"/>
              </w:rPr>
              <w:t xml:space="preserve">The combined impact of these outcomes is profound. Women agripreneurs have increased their socio-economic resilience and productivity, attempting to reduce dependency on external aid. Vulnerable and displaced families now have better access to nutritious food, and collective action through participatory governance has enhanced community resilience. </w:t>
            </w:r>
          </w:p>
        </w:tc>
      </w:tr>
      <w:tr w:rsidR="006D456E" w:rsidRPr="00A32CD9" w14:paraId="4BC5100C" w14:textId="77777777" w:rsidTr="00450FCD">
        <w:trPr>
          <w:trHeight w:val="369"/>
        </w:trPr>
        <w:tc>
          <w:tcPr>
            <w:tcW w:w="5000" w:type="pct"/>
            <w:gridSpan w:val="2"/>
          </w:tcPr>
          <w:p w14:paraId="5755DB66" w14:textId="57C57BBD" w:rsidR="00CA4871" w:rsidRPr="00585FCD" w:rsidRDefault="00EF79DD" w:rsidP="00D1449F">
            <w:pPr>
              <w:pStyle w:val="ListParagraph"/>
              <w:numPr>
                <w:ilvl w:val="0"/>
                <w:numId w:val="48"/>
              </w:numPr>
              <w:shd w:val="clear" w:color="auto" w:fill="FFFFFF"/>
              <w:spacing w:before="60" w:after="60"/>
              <w:rPr>
                <w:rFonts w:asciiTheme="majorHAnsi" w:hAnsiTheme="majorHAnsi"/>
                <w:b/>
                <w:bCs/>
                <w:sz w:val="22"/>
              </w:rPr>
            </w:pPr>
            <w:r w:rsidRPr="00585FCD">
              <w:rPr>
                <w:rFonts w:asciiTheme="majorHAnsi" w:hAnsiTheme="majorHAnsi"/>
                <w:sz w:val="22"/>
              </w:rPr>
              <w:lastRenderedPageBreak/>
              <w:t xml:space="preserve">Among these results, </w:t>
            </w:r>
            <w:r w:rsidR="0044403E" w:rsidRPr="00585FCD">
              <w:rPr>
                <w:rFonts w:asciiTheme="majorHAnsi" w:hAnsiTheme="majorHAnsi"/>
                <w:sz w:val="22"/>
              </w:rPr>
              <w:t>has the good practice</w:t>
            </w:r>
            <w:r w:rsidR="006D456E" w:rsidRPr="00585FCD">
              <w:rPr>
                <w:rFonts w:asciiTheme="majorHAnsi" w:hAnsiTheme="majorHAnsi"/>
                <w:sz w:val="22"/>
              </w:rPr>
              <w:t xml:space="preserve"> </w:t>
            </w:r>
            <w:r w:rsidR="003908D1" w:rsidRPr="00585FCD">
              <w:rPr>
                <w:rFonts w:asciiTheme="majorHAnsi" w:hAnsiTheme="majorHAnsi"/>
                <w:sz w:val="22"/>
              </w:rPr>
              <w:t xml:space="preserve">led to </w:t>
            </w:r>
            <w:r w:rsidR="00201777" w:rsidRPr="00585FCD">
              <w:rPr>
                <w:rFonts w:asciiTheme="majorHAnsi" w:hAnsiTheme="majorHAnsi"/>
                <w:sz w:val="22"/>
              </w:rPr>
              <w:t>improvements in terms of</w:t>
            </w:r>
            <w:r w:rsidR="006D456E" w:rsidRPr="00585FCD">
              <w:rPr>
                <w:rFonts w:asciiTheme="majorHAnsi" w:hAnsiTheme="majorHAnsi"/>
                <w:sz w:val="22"/>
              </w:rPr>
              <w:t xml:space="preserve"> </w:t>
            </w:r>
            <w:r w:rsidR="006D456E" w:rsidRPr="00585FCD">
              <w:rPr>
                <w:rFonts w:asciiTheme="majorHAnsi" w:hAnsiTheme="majorHAnsi"/>
                <w:b/>
                <w:bCs/>
                <w:sz w:val="22"/>
              </w:rPr>
              <w:t xml:space="preserve">gender equality, women’s empowerment, </w:t>
            </w:r>
            <w:r w:rsidR="000317B0" w:rsidRPr="00585FCD">
              <w:rPr>
                <w:rFonts w:asciiTheme="majorHAnsi" w:hAnsiTheme="majorHAnsi"/>
                <w:b/>
                <w:bCs/>
                <w:sz w:val="22"/>
              </w:rPr>
              <w:t>and/or</w:t>
            </w:r>
            <w:r w:rsidR="006D456E" w:rsidRPr="00585FCD">
              <w:rPr>
                <w:rFonts w:asciiTheme="majorHAnsi" w:hAnsiTheme="majorHAnsi"/>
                <w:sz w:val="22"/>
              </w:rPr>
              <w:t xml:space="preserve"> </w:t>
            </w:r>
            <w:r w:rsidR="006D456E" w:rsidRPr="00585FCD">
              <w:rPr>
                <w:rFonts w:asciiTheme="majorHAnsi" w:hAnsiTheme="majorHAnsi"/>
                <w:b/>
                <w:bCs/>
                <w:sz w:val="22"/>
              </w:rPr>
              <w:t>social inclusion</w:t>
            </w:r>
            <w:r w:rsidR="006D456E" w:rsidRPr="00585FCD">
              <w:rPr>
                <w:rFonts w:asciiTheme="majorHAnsi" w:hAnsiTheme="majorHAnsi"/>
                <w:sz w:val="22"/>
              </w:rPr>
              <w:t>?</w:t>
            </w:r>
          </w:p>
          <w:p w14:paraId="63662442" w14:textId="77777777" w:rsidR="006D456E" w:rsidRPr="00585FCD" w:rsidRDefault="006D456E" w:rsidP="00D1449F">
            <w:pPr>
              <w:pStyle w:val="ListParagraph"/>
              <w:numPr>
                <w:ilvl w:val="0"/>
                <w:numId w:val="0"/>
              </w:numPr>
              <w:shd w:val="clear" w:color="auto" w:fill="FFFFFF"/>
              <w:spacing w:before="60" w:after="60"/>
              <w:ind w:left="720"/>
              <w:rPr>
                <w:rFonts w:asciiTheme="majorHAnsi" w:hAnsiTheme="majorHAnsi"/>
                <w:i/>
                <w:iCs/>
                <w:sz w:val="22"/>
              </w:rPr>
            </w:pPr>
            <w:r w:rsidRPr="00585FCD">
              <w:rPr>
                <w:rFonts w:asciiTheme="majorHAnsi" w:hAnsiTheme="majorHAnsi"/>
                <w:b/>
                <w:bCs/>
                <w:sz w:val="22"/>
              </w:rPr>
              <w:br/>
            </w:r>
            <w:r w:rsidR="00201777" w:rsidRPr="00585FCD">
              <w:rPr>
                <w:rFonts w:asciiTheme="majorHAnsi" w:hAnsiTheme="majorHAnsi"/>
                <w:i/>
                <w:iCs/>
                <w:sz w:val="22"/>
              </w:rPr>
              <w:t>D</w:t>
            </w:r>
            <w:r w:rsidRPr="00585FCD">
              <w:rPr>
                <w:rFonts w:asciiTheme="majorHAnsi" w:hAnsiTheme="majorHAnsi"/>
                <w:i/>
                <w:iCs/>
                <w:sz w:val="22"/>
              </w:rPr>
              <w:t xml:space="preserve">escribe the </w:t>
            </w:r>
            <w:r w:rsidRPr="00585FCD">
              <w:rPr>
                <w:rFonts w:asciiTheme="majorHAnsi" w:hAnsiTheme="majorHAnsi"/>
                <w:b/>
                <w:bCs/>
                <w:i/>
                <w:iCs/>
                <w:sz w:val="22"/>
              </w:rPr>
              <w:t>behavioral changes</w:t>
            </w:r>
            <w:r w:rsidRPr="00585FCD">
              <w:rPr>
                <w:rFonts w:asciiTheme="majorHAnsi" w:hAnsiTheme="majorHAnsi"/>
                <w:i/>
                <w:iCs/>
                <w:sz w:val="22"/>
              </w:rPr>
              <w:t xml:space="preserve"> </w:t>
            </w:r>
            <w:r w:rsidR="004D7B18" w:rsidRPr="00585FCD">
              <w:rPr>
                <w:rFonts w:asciiTheme="majorHAnsi" w:hAnsiTheme="majorHAnsi"/>
                <w:i/>
                <w:iCs/>
                <w:sz w:val="22"/>
              </w:rPr>
              <w:t xml:space="preserve">in terms of gender that the good practice </w:t>
            </w:r>
            <w:r w:rsidRPr="00585FCD">
              <w:rPr>
                <w:rFonts w:asciiTheme="majorHAnsi" w:hAnsiTheme="majorHAnsi"/>
                <w:i/>
                <w:iCs/>
                <w:sz w:val="22"/>
              </w:rPr>
              <w:t>promotes, emphasizing agency, leadership,</w:t>
            </w:r>
            <w:r w:rsidR="00C64285" w:rsidRPr="00585FCD">
              <w:rPr>
                <w:rFonts w:asciiTheme="majorHAnsi" w:hAnsiTheme="majorHAnsi"/>
                <w:i/>
                <w:iCs/>
                <w:sz w:val="22"/>
              </w:rPr>
              <w:t xml:space="preserve"> and participation in local governance.</w:t>
            </w:r>
            <w:r w:rsidRPr="00585FCD">
              <w:rPr>
                <w:rFonts w:asciiTheme="majorHAnsi" w:hAnsiTheme="majorHAnsi"/>
                <w:i/>
                <w:iCs/>
                <w:sz w:val="22"/>
              </w:rPr>
              <w:t xml:space="preserve"> </w:t>
            </w:r>
            <w:r w:rsidR="00C64285" w:rsidRPr="00585FCD">
              <w:rPr>
                <w:rFonts w:asciiTheme="majorHAnsi" w:hAnsiTheme="majorHAnsi"/>
                <w:i/>
                <w:iCs/>
                <w:sz w:val="22"/>
              </w:rPr>
              <w:t xml:space="preserve">Include </w:t>
            </w:r>
            <w:r w:rsidRPr="00585FCD">
              <w:rPr>
                <w:rFonts w:asciiTheme="majorHAnsi" w:hAnsiTheme="majorHAnsi"/>
                <w:i/>
                <w:iCs/>
                <w:sz w:val="22"/>
              </w:rPr>
              <w:t xml:space="preserve">efforts </w:t>
            </w:r>
            <w:r w:rsidR="004D7B18" w:rsidRPr="00585FCD">
              <w:rPr>
                <w:rFonts w:asciiTheme="majorHAnsi" w:hAnsiTheme="majorHAnsi"/>
                <w:i/>
                <w:iCs/>
                <w:sz w:val="22"/>
              </w:rPr>
              <w:t xml:space="preserve">to </w:t>
            </w:r>
            <w:r w:rsidRPr="00585FCD">
              <w:rPr>
                <w:rFonts w:asciiTheme="majorHAnsi" w:hAnsiTheme="majorHAnsi"/>
                <w:i/>
                <w:iCs/>
                <w:sz w:val="22"/>
              </w:rPr>
              <w:t xml:space="preserve">challenge </w:t>
            </w:r>
            <w:r w:rsidR="00C64285" w:rsidRPr="00585FCD">
              <w:rPr>
                <w:rFonts w:asciiTheme="majorHAnsi" w:hAnsiTheme="majorHAnsi"/>
                <w:i/>
                <w:iCs/>
                <w:sz w:val="22"/>
              </w:rPr>
              <w:t xml:space="preserve">discriminatory </w:t>
            </w:r>
            <w:r w:rsidRPr="00585FCD">
              <w:rPr>
                <w:rFonts w:asciiTheme="majorHAnsi" w:hAnsiTheme="majorHAnsi"/>
                <w:i/>
                <w:iCs/>
                <w:sz w:val="22"/>
              </w:rPr>
              <w:t xml:space="preserve">norms and </w:t>
            </w:r>
            <w:r w:rsidR="00460D82" w:rsidRPr="00585FCD">
              <w:rPr>
                <w:rFonts w:asciiTheme="majorHAnsi" w:hAnsiTheme="majorHAnsi"/>
                <w:i/>
                <w:iCs/>
                <w:sz w:val="22"/>
              </w:rPr>
              <w:t xml:space="preserve">unequal </w:t>
            </w:r>
            <w:r w:rsidRPr="00585FCD">
              <w:rPr>
                <w:rFonts w:asciiTheme="majorHAnsi" w:hAnsiTheme="majorHAnsi"/>
                <w:i/>
                <w:iCs/>
                <w:sz w:val="22"/>
              </w:rPr>
              <w:t xml:space="preserve">power dynamics. Highlight </w:t>
            </w:r>
            <w:r w:rsidR="0061359C" w:rsidRPr="00585FCD">
              <w:rPr>
                <w:rFonts w:asciiTheme="majorHAnsi" w:hAnsiTheme="majorHAnsi"/>
                <w:i/>
                <w:iCs/>
                <w:sz w:val="22"/>
              </w:rPr>
              <w:t xml:space="preserve">also </w:t>
            </w:r>
            <w:r w:rsidRPr="00585FCD">
              <w:rPr>
                <w:rFonts w:asciiTheme="majorHAnsi" w:hAnsiTheme="majorHAnsi"/>
                <w:i/>
                <w:iCs/>
                <w:sz w:val="22"/>
              </w:rPr>
              <w:t xml:space="preserve">how the intervention has supported </w:t>
            </w:r>
            <w:r w:rsidR="00963AF3" w:rsidRPr="00585FCD">
              <w:rPr>
                <w:rFonts w:asciiTheme="majorHAnsi" w:hAnsiTheme="majorHAnsi"/>
                <w:i/>
                <w:iCs/>
                <w:sz w:val="22"/>
              </w:rPr>
              <w:t>the</w:t>
            </w:r>
            <w:r w:rsidR="00144D0C" w:rsidRPr="00585FCD">
              <w:rPr>
                <w:rFonts w:asciiTheme="majorHAnsi" w:hAnsiTheme="majorHAnsi"/>
                <w:i/>
                <w:iCs/>
                <w:sz w:val="22"/>
              </w:rPr>
              <w:t xml:space="preserve"> </w:t>
            </w:r>
            <w:r w:rsidR="00963AF3" w:rsidRPr="00585FCD">
              <w:rPr>
                <w:rFonts w:asciiTheme="majorHAnsi" w:hAnsiTheme="majorHAnsi"/>
                <w:i/>
                <w:iCs/>
                <w:sz w:val="22"/>
              </w:rPr>
              <w:t xml:space="preserve">well-being </w:t>
            </w:r>
            <w:r w:rsidR="00144D0C" w:rsidRPr="00585FCD">
              <w:rPr>
                <w:rFonts w:asciiTheme="majorHAnsi" w:hAnsiTheme="majorHAnsi"/>
                <w:i/>
                <w:iCs/>
                <w:sz w:val="22"/>
              </w:rPr>
              <w:t xml:space="preserve">(including psychological resilience) </w:t>
            </w:r>
            <w:r w:rsidR="00963AF3" w:rsidRPr="00585FCD">
              <w:rPr>
                <w:rFonts w:asciiTheme="majorHAnsi" w:hAnsiTheme="majorHAnsi"/>
                <w:i/>
                <w:iCs/>
                <w:sz w:val="22"/>
              </w:rPr>
              <w:t xml:space="preserve">of </w:t>
            </w:r>
            <w:r w:rsidRPr="00585FCD">
              <w:rPr>
                <w:rFonts w:asciiTheme="majorHAnsi" w:hAnsiTheme="majorHAnsi"/>
                <w:i/>
                <w:iCs/>
                <w:sz w:val="22"/>
              </w:rPr>
              <w:t xml:space="preserve">marginalized groups </w:t>
            </w:r>
            <w:r w:rsidR="00D40069" w:rsidRPr="00585FCD">
              <w:rPr>
                <w:rFonts w:asciiTheme="majorHAnsi" w:hAnsiTheme="majorHAnsi"/>
                <w:i/>
                <w:iCs/>
                <w:sz w:val="22"/>
              </w:rPr>
              <w:t>and enhanced</w:t>
            </w:r>
            <w:r w:rsidR="0090247E" w:rsidRPr="00585FCD">
              <w:rPr>
                <w:rFonts w:asciiTheme="majorHAnsi" w:hAnsiTheme="majorHAnsi"/>
                <w:i/>
                <w:iCs/>
                <w:sz w:val="22"/>
              </w:rPr>
              <w:t xml:space="preserve"> their</w:t>
            </w:r>
            <w:r w:rsidR="00D40069" w:rsidRPr="00585FCD">
              <w:rPr>
                <w:rFonts w:asciiTheme="majorHAnsi" w:hAnsiTheme="majorHAnsi"/>
                <w:i/>
                <w:iCs/>
                <w:sz w:val="22"/>
              </w:rPr>
              <w:t xml:space="preserve"> inclusion and participation</w:t>
            </w:r>
            <w:r w:rsidR="0090247E" w:rsidRPr="00585FCD">
              <w:rPr>
                <w:rFonts w:asciiTheme="majorHAnsi" w:hAnsiTheme="majorHAnsi"/>
                <w:i/>
                <w:iCs/>
                <w:sz w:val="22"/>
              </w:rPr>
              <w:t xml:space="preserve"> </w:t>
            </w:r>
            <w:r w:rsidR="00D40069" w:rsidRPr="00585FCD">
              <w:rPr>
                <w:rFonts w:asciiTheme="majorHAnsi" w:hAnsiTheme="majorHAnsi"/>
                <w:i/>
                <w:iCs/>
                <w:sz w:val="22"/>
              </w:rPr>
              <w:t>in decision-making</w:t>
            </w:r>
            <w:r w:rsidR="0090247E" w:rsidRPr="00585FCD">
              <w:rPr>
                <w:rFonts w:asciiTheme="majorHAnsi" w:hAnsiTheme="majorHAnsi"/>
                <w:i/>
                <w:iCs/>
                <w:sz w:val="22"/>
              </w:rPr>
              <w:t xml:space="preserve"> processes</w:t>
            </w:r>
            <w:r w:rsidR="001F72D4" w:rsidRPr="00585FCD">
              <w:rPr>
                <w:rFonts w:asciiTheme="majorHAnsi" w:hAnsiTheme="majorHAnsi"/>
                <w:i/>
                <w:iCs/>
                <w:sz w:val="22"/>
              </w:rPr>
              <w:t>.</w:t>
            </w:r>
            <w:r w:rsidR="0090247E" w:rsidRPr="00585FCD">
              <w:rPr>
                <w:rFonts w:asciiTheme="majorHAnsi" w:hAnsiTheme="majorHAnsi"/>
                <w:i/>
                <w:iCs/>
                <w:sz w:val="22"/>
              </w:rPr>
              <w:t xml:space="preserve"> </w:t>
            </w:r>
            <w:r w:rsidR="00AB22FA" w:rsidRPr="00585FCD">
              <w:rPr>
                <w:rFonts w:asciiTheme="majorHAnsi" w:hAnsiTheme="majorHAnsi"/>
                <w:i/>
                <w:iCs/>
                <w:sz w:val="22"/>
              </w:rPr>
              <w:t xml:space="preserve"> </w:t>
            </w:r>
            <w:r w:rsidR="001F72D4" w:rsidRPr="00585FCD">
              <w:rPr>
                <w:rFonts w:asciiTheme="majorHAnsi" w:hAnsiTheme="majorHAnsi"/>
                <w:i/>
                <w:iCs/>
                <w:sz w:val="22"/>
              </w:rPr>
              <w:t xml:space="preserve"> </w:t>
            </w:r>
            <w:r w:rsidR="00AB22FA" w:rsidRPr="00585FCD">
              <w:rPr>
                <w:rFonts w:asciiTheme="majorHAnsi" w:hAnsiTheme="majorHAnsi"/>
                <w:i/>
                <w:iCs/>
                <w:sz w:val="22"/>
              </w:rPr>
              <w:t xml:space="preserve"> </w:t>
            </w:r>
          </w:p>
          <w:p w14:paraId="2636E314" w14:textId="77777777" w:rsidR="00692068" w:rsidRPr="00585FCD" w:rsidRDefault="00692068" w:rsidP="00D1449F">
            <w:pPr>
              <w:pStyle w:val="ListParagraph"/>
              <w:numPr>
                <w:ilvl w:val="0"/>
                <w:numId w:val="0"/>
              </w:numPr>
              <w:shd w:val="clear" w:color="auto" w:fill="FFFFFF"/>
              <w:spacing w:before="60" w:after="60"/>
              <w:ind w:left="720"/>
              <w:rPr>
                <w:rFonts w:asciiTheme="majorHAnsi" w:hAnsiTheme="majorHAnsi"/>
                <w:b/>
                <w:bCs/>
                <w:i/>
                <w:iCs/>
                <w:sz w:val="22"/>
              </w:rPr>
            </w:pPr>
          </w:p>
          <w:p w14:paraId="2CB6226E" w14:textId="30490352" w:rsidR="00585FCD" w:rsidRPr="00585FCD" w:rsidRDefault="00585FCD" w:rsidP="00D1449F">
            <w:pPr>
              <w:spacing w:after="0"/>
              <w:rPr>
                <w:rFonts w:asciiTheme="majorHAnsi" w:hAnsiTheme="majorHAnsi"/>
                <w:color w:val="0E101A"/>
                <w:sz w:val="22"/>
              </w:rPr>
            </w:pPr>
            <w:r w:rsidRPr="00585FCD">
              <w:rPr>
                <w:rFonts w:asciiTheme="majorHAnsi" w:hAnsiTheme="majorHAnsi"/>
                <w:color w:val="0E101A"/>
                <w:sz w:val="22"/>
              </w:rPr>
              <w:t xml:space="preserve">A cornerstone of this transformation is the </w:t>
            </w:r>
            <w:r w:rsidRPr="00F923D0">
              <w:rPr>
                <w:rFonts w:asciiTheme="majorHAnsi" w:hAnsiTheme="majorHAnsi"/>
                <w:color w:val="0E101A"/>
                <w:sz w:val="22"/>
              </w:rPr>
              <w:t>promotion of agency and leadership</w:t>
            </w:r>
            <w:r w:rsidRPr="00585FCD">
              <w:rPr>
                <w:rFonts w:asciiTheme="majorHAnsi" w:hAnsiTheme="majorHAnsi"/>
                <w:color w:val="0E101A"/>
                <w:sz w:val="22"/>
              </w:rPr>
              <w:t xml:space="preserve"> among women agripreneurs. Through platforms like the Urban Women Agripreneurs Forum (UWAF), women agripreneurs have evolved from being passive recipients of aid to becoming active leaders in their communities. Over 500 women agripreneurs now hold leadership roles in initiatives such as solidarity marketing campaigns and advocacy for urban agriculture policies, effectively representing their peers in dialogues on Gaza's agricultural </w:t>
            </w:r>
            <w:r w:rsidR="00F923D0">
              <w:rPr>
                <w:rFonts w:asciiTheme="majorHAnsi" w:hAnsiTheme="majorHAnsi"/>
                <w:color w:val="0E101A"/>
                <w:sz w:val="22"/>
              </w:rPr>
              <w:t>resilience and recovery</w:t>
            </w:r>
            <w:r w:rsidRPr="00585FCD">
              <w:rPr>
                <w:rFonts w:asciiTheme="majorHAnsi" w:hAnsiTheme="majorHAnsi"/>
                <w:color w:val="0E101A"/>
                <w:sz w:val="22"/>
              </w:rPr>
              <w:t>. These efforts have significantly increased women's decision-making power, enabling them to actively participate in resource allocation, intervention design, and planning processes through UWAF's coordination committees. Peer-to-peer capacity-sharing networks have further supported their confidence and ability to influence key decisions, fostering a collective sense of empowerment and self-reliance.</w:t>
            </w:r>
          </w:p>
          <w:p w14:paraId="6253ACBA" w14:textId="0967AC18" w:rsidR="00585FCD" w:rsidRPr="00585FCD" w:rsidRDefault="00585FCD" w:rsidP="00D1449F">
            <w:pPr>
              <w:spacing w:after="0"/>
              <w:rPr>
                <w:rFonts w:asciiTheme="majorHAnsi" w:hAnsiTheme="majorHAnsi"/>
                <w:color w:val="0E101A"/>
                <w:sz w:val="22"/>
              </w:rPr>
            </w:pPr>
            <w:r w:rsidRPr="00585FCD">
              <w:rPr>
                <w:rFonts w:asciiTheme="majorHAnsi" w:hAnsiTheme="majorHAnsi"/>
                <w:color w:val="0E101A"/>
                <w:sz w:val="22"/>
              </w:rPr>
              <w:t xml:space="preserve">The practice has also successfully </w:t>
            </w:r>
            <w:r w:rsidRPr="00F923D0">
              <w:rPr>
                <w:rFonts w:asciiTheme="majorHAnsi" w:hAnsiTheme="majorHAnsi"/>
                <w:color w:val="0E101A"/>
                <w:sz w:val="22"/>
              </w:rPr>
              <w:t>challenged discriminatory norms and unequal power dynamics,</w:t>
            </w:r>
            <w:r w:rsidRPr="00585FCD">
              <w:rPr>
                <w:rFonts w:asciiTheme="majorHAnsi" w:hAnsiTheme="majorHAnsi"/>
                <w:color w:val="0E101A"/>
                <w:sz w:val="22"/>
              </w:rPr>
              <w:t xml:space="preserve"> shifted societal attitudes and promoted gender-responsive policies. Through targeted advocacy, GUPAP has emphasized the critical role of women agripreneurs in Gaza's agricultural </w:t>
            </w:r>
            <w:r w:rsidR="00F923D0">
              <w:rPr>
                <w:rFonts w:asciiTheme="majorHAnsi" w:hAnsiTheme="majorHAnsi"/>
                <w:color w:val="0E101A"/>
                <w:sz w:val="22"/>
              </w:rPr>
              <w:t xml:space="preserve">resilience and </w:t>
            </w:r>
            <w:r w:rsidRPr="00585FCD">
              <w:rPr>
                <w:rFonts w:asciiTheme="majorHAnsi" w:hAnsiTheme="majorHAnsi"/>
                <w:color w:val="0E101A"/>
                <w:sz w:val="22"/>
              </w:rPr>
              <w:t>recovery, ensuring their contributions are recognized and institutionalized. For example, women agripreneurs have advocated for their integration into food aid supply chains, transforming structural inequities into growth opportunities. Capacity-sharing sessions and community discussions have catalyzed these behavioral shifts, with traditional power dynamics that previously excluded women from markets and governance being dismantled as their visibility and influence grow.</w:t>
            </w:r>
          </w:p>
          <w:p w14:paraId="3F164272" w14:textId="77777777" w:rsidR="00585FCD" w:rsidRPr="00585FCD" w:rsidRDefault="00585FCD" w:rsidP="00D1449F">
            <w:pPr>
              <w:spacing w:after="0"/>
              <w:rPr>
                <w:rFonts w:asciiTheme="majorHAnsi" w:hAnsiTheme="majorHAnsi"/>
                <w:color w:val="0E101A"/>
                <w:sz w:val="22"/>
              </w:rPr>
            </w:pPr>
            <w:r w:rsidRPr="00585FCD">
              <w:rPr>
                <w:rFonts w:asciiTheme="majorHAnsi" w:hAnsiTheme="majorHAnsi"/>
                <w:color w:val="0E101A"/>
                <w:sz w:val="22"/>
              </w:rPr>
              <w:t xml:space="preserve">GUPAP's interventions have also significantly </w:t>
            </w:r>
            <w:r w:rsidRPr="00F923D0">
              <w:rPr>
                <w:rFonts w:asciiTheme="majorHAnsi" w:hAnsiTheme="majorHAnsi"/>
                <w:color w:val="0E101A"/>
                <w:sz w:val="22"/>
              </w:rPr>
              <w:t>enhanced psychological resilience and well-being</w:t>
            </w:r>
            <w:r w:rsidRPr="00585FCD">
              <w:rPr>
                <w:rFonts w:asciiTheme="majorHAnsi" w:hAnsiTheme="majorHAnsi"/>
                <w:color w:val="0E101A"/>
                <w:sz w:val="22"/>
              </w:rPr>
              <w:t>, particularly for displaced women agripreneurs who face compounded vulnerabilities. Tailored support, such as community-led kitchens, has provided displaced women with opportunities to rebuild their livelihoods while fostering social cohesion and emotional resilience. These kitchens serve as inclusive spaces where women and marginalized groups can collaborate on shared challenges, reducing stigma and fostering renewed pride and purpose. Solidarity marketing campaigns and other community-led initiatives have created additional opportunities for collective action, strengthening bonds across diverse groups and enhancing social inclusion.</w:t>
            </w:r>
          </w:p>
          <w:p w14:paraId="53FFF850" w14:textId="77777777" w:rsidR="00585FCD" w:rsidRPr="00585FCD" w:rsidRDefault="00585FCD" w:rsidP="00D1449F">
            <w:pPr>
              <w:spacing w:after="0"/>
              <w:rPr>
                <w:rFonts w:asciiTheme="majorHAnsi" w:hAnsiTheme="majorHAnsi"/>
                <w:color w:val="0E101A"/>
                <w:sz w:val="22"/>
              </w:rPr>
            </w:pPr>
            <w:r w:rsidRPr="00585FCD">
              <w:rPr>
                <w:rFonts w:asciiTheme="majorHAnsi" w:hAnsiTheme="majorHAnsi"/>
                <w:color w:val="0E101A"/>
                <w:sz w:val="22"/>
              </w:rPr>
              <w:lastRenderedPageBreak/>
              <w:t xml:space="preserve">Another critical achievement has been the </w:t>
            </w:r>
            <w:r w:rsidRPr="00316830">
              <w:rPr>
                <w:rFonts w:asciiTheme="majorHAnsi" w:hAnsiTheme="majorHAnsi"/>
                <w:color w:val="0E101A"/>
                <w:sz w:val="22"/>
              </w:rPr>
              <w:t xml:space="preserve">promotion of women's participation in local governance. </w:t>
            </w:r>
            <w:r w:rsidRPr="00585FCD">
              <w:rPr>
                <w:rFonts w:asciiTheme="majorHAnsi" w:hAnsiTheme="majorHAnsi"/>
                <w:color w:val="0E101A"/>
                <w:sz w:val="22"/>
              </w:rPr>
              <w:t>GUPAP's advocacy has enabled women agripreneurs to gain representation in governance structures, influencing policy decisions on urban agriculture, climate adaptation, and food systems. Through these efforts, women's voices are now integral to shaping Gaza's recovery and urban transformation plans. Collaborative governance approaches have also ensured that other marginalized groups, including displaced families, have platforms to voice their needs and priorities, embedding inclusivity within the decision-making process.</w:t>
            </w:r>
          </w:p>
          <w:p w14:paraId="1DE5FA4B" w14:textId="77777777" w:rsidR="00585FCD" w:rsidRPr="00585FCD" w:rsidRDefault="00585FCD" w:rsidP="00D1449F">
            <w:pPr>
              <w:spacing w:after="0"/>
              <w:rPr>
                <w:rFonts w:asciiTheme="majorHAnsi" w:hAnsiTheme="majorHAnsi"/>
                <w:color w:val="0E101A"/>
                <w:sz w:val="22"/>
              </w:rPr>
            </w:pPr>
            <w:r w:rsidRPr="00585FCD">
              <w:rPr>
                <w:rFonts w:asciiTheme="majorHAnsi" w:hAnsiTheme="majorHAnsi"/>
                <w:color w:val="0E101A"/>
                <w:sz w:val="22"/>
              </w:rPr>
              <w:t>The impacts of this good practice are far-reaching. Women agripreneurs are now widely recognized as essential contributors to Gaza's food systems, their increased visibility signaling a broader societal acknowledgment of their roles. The intervention has enhanced the well-being of marginalized groups, particularly displaced women, who report improved psychological resilience and stronger social ties. Inclusive governance structures, shaped by the active participation of women agripreneurs, now integrate gender-responsive approaches into agricultural policy and urban transformation efforts.</w:t>
            </w:r>
          </w:p>
          <w:p w14:paraId="77DF4773" w14:textId="0A376A36" w:rsidR="00585FCD" w:rsidRPr="00585FCD" w:rsidRDefault="00585FCD" w:rsidP="00D1449F">
            <w:pPr>
              <w:shd w:val="clear" w:color="auto" w:fill="FFFFFF"/>
              <w:spacing w:before="60" w:after="60"/>
              <w:ind w:left="34" w:hanging="34"/>
              <w:rPr>
                <w:rFonts w:asciiTheme="majorHAnsi" w:hAnsiTheme="majorHAnsi"/>
                <w:b/>
                <w:bCs/>
                <w:sz w:val="22"/>
              </w:rPr>
            </w:pPr>
          </w:p>
        </w:tc>
      </w:tr>
      <w:tr w:rsidR="00663985" w:rsidRPr="00A32CD9" w14:paraId="659799D8" w14:textId="77777777" w:rsidTr="00450FCD">
        <w:trPr>
          <w:trHeight w:val="369"/>
        </w:trPr>
        <w:tc>
          <w:tcPr>
            <w:tcW w:w="5000" w:type="pct"/>
            <w:gridSpan w:val="2"/>
          </w:tcPr>
          <w:p w14:paraId="76F14398" w14:textId="074AC0A9" w:rsidR="00DE514E" w:rsidRPr="00A32CD9" w:rsidRDefault="007E229D" w:rsidP="00D1449F">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eastAsia="en-GB"/>
              </w:rPr>
              <w:lastRenderedPageBreak/>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66F7202B" w14:textId="77777777" w:rsidR="00663985" w:rsidRDefault="007E229D" w:rsidP="00D1449F">
            <w:pPr>
              <w:pStyle w:val="ListParagraph"/>
              <w:numPr>
                <w:ilvl w:val="0"/>
                <w:numId w:val="0"/>
              </w:numPr>
              <w:shd w:val="clear" w:color="auto" w:fill="FFFFFF"/>
              <w:spacing w:before="60" w:after="60"/>
              <w:ind w:left="720"/>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7C4938BD" w14:textId="77777777" w:rsidR="007C7C4A" w:rsidRPr="007C7C4A" w:rsidRDefault="007C7C4A" w:rsidP="00D1449F">
            <w:pPr>
              <w:pStyle w:val="ListParagraph"/>
              <w:numPr>
                <w:ilvl w:val="0"/>
                <w:numId w:val="0"/>
              </w:numPr>
              <w:shd w:val="clear" w:color="auto" w:fill="FFFFFF"/>
              <w:spacing w:before="60" w:after="60"/>
              <w:ind w:left="720"/>
              <w:rPr>
                <w:rFonts w:asciiTheme="majorHAnsi" w:hAnsiTheme="majorHAnsi" w:cs="Calibri"/>
                <w:sz w:val="22"/>
                <w:lang w:eastAsia="en-GB"/>
              </w:rPr>
            </w:pPr>
          </w:p>
          <w:p w14:paraId="23BD4F37" w14:textId="77777777" w:rsidR="00795294" w:rsidRPr="00795294" w:rsidRDefault="00795294" w:rsidP="00D1449F">
            <w:pPr>
              <w:shd w:val="clear" w:color="auto" w:fill="FFFFFF"/>
              <w:spacing w:before="60" w:after="60"/>
              <w:ind w:left="34" w:firstLine="1"/>
              <w:rPr>
                <w:rFonts w:asciiTheme="majorHAnsi" w:hAnsiTheme="majorHAnsi"/>
                <w:sz w:val="22"/>
              </w:rPr>
            </w:pPr>
            <w:r w:rsidRPr="00795294">
              <w:rPr>
                <w:rFonts w:asciiTheme="majorHAnsi" w:hAnsiTheme="majorHAnsi"/>
                <w:sz w:val="22"/>
              </w:rPr>
              <w:t xml:space="preserve">One major challenge was </w:t>
            </w:r>
            <w:r w:rsidRPr="00EC7A51">
              <w:rPr>
                <w:rFonts w:asciiTheme="majorHAnsi" w:hAnsiTheme="majorHAnsi"/>
                <w:sz w:val="22"/>
              </w:rPr>
              <w:t>resistance from communities rooted in cultural norms</w:t>
            </w:r>
            <w:r w:rsidRPr="00795294">
              <w:rPr>
                <w:rFonts w:asciiTheme="majorHAnsi" w:hAnsiTheme="majorHAnsi"/>
                <w:sz w:val="22"/>
              </w:rPr>
              <w:t>. Traditional beliefs often confined women to domestic roles, leading to pushback against their active participation in agricultural and economic activities. This resistance also extended to gender equity initiatives, such as leadership training for women agripreneurs. To overcome these barriers, GUPAP adopted culturally sensitive strategies, engaging respected community leaders and influential models to advocate for the inclusion of women agripreneurs. Community discussions were organized to highlight women's economic and social contributions to urban agriculture, with resilience and success stories showcasing their positive impacts on families and communities. These efforts helped shift perceptions, fostering broader acceptance and support for women's leadership.</w:t>
            </w:r>
          </w:p>
          <w:p w14:paraId="3094BE15" w14:textId="13579D71" w:rsidR="00795294" w:rsidRPr="00795294" w:rsidRDefault="00795294" w:rsidP="00D1449F">
            <w:pPr>
              <w:shd w:val="clear" w:color="auto" w:fill="FFFFFF"/>
              <w:spacing w:before="60" w:after="60"/>
              <w:ind w:left="34" w:firstLine="1"/>
              <w:rPr>
                <w:rFonts w:asciiTheme="majorHAnsi" w:hAnsiTheme="majorHAnsi"/>
                <w:sz w:val="22"/>
              </w:rPr>
            </w:pPr>
            <w:r w:rsidRPr="00795294">
              <w:rPr>
                <w:rFonts w:asciiTheme="majorHAnsi" w:hAnsiTheme="majorHAnsi"/>
                <w:sz w:val="22"/>
              </w:rPr>
              <w:t xml:space="preserve">Another challenge arose from </w:t>
            </w:r>
            <w:r w:rsidRPr="00EC7A51">
              <w:rPr>
                <w:rFonts w:asciiTheme="majorHAnsi" w:hAnsiTheme="majorHAnsi"/>
                <w:sz w:val="22"/>
              </w:rPr>
              <w:t>unequal power dynamics</w:t>
            </w:r>
            <w:r w:rsidRPr="00795294">
              <w:rPr>
                <w:rFonts w:asciiTheme="majorHAnsi" w:hAnsiTheme="majorHAnsi"/>
                <w:sz w:val="22"/>
              </w:rPr>
              <w:t xml:space="preserve"> between men and women within urban and displaced communities. These imbalances often result in inequitable access to resources and decision-making platforms. To address this, GUPAP prioritized women-led initiatives</w:t>
            </w:r>
            <w:r w:rsidR="00EC7A51">
              <w:rPr>
                <w:rFonts w:asciiTheme="majorHAnsi" w:hAnsiTheme="majorHAnsi"/>
                <w:sz w:val="22"/>
              </w:rPr>
              <w:t xml:space="preserve"> through</w:t>
            </w:r>
            <w:r w:rsidRPr="00795294">
              <w:rPr>
                <w:rFonts w:asciiTheme="majorHAnsi" w:hAnsiTheme="majorHAnsi"/>
                <w:sz w:val="22"/>
              </w:rPr>
              <w:t xml:space="preserve"> Urban Women Agripreneurs Forum (UWAF), empowering women to take on leadership roles and oversee resource distribution. Equitable resource allocation strategies were implemented through participatory mechanisms like community-led coordination committees, ensuring that marginalized groups had fair opportunities to benefit from interventions.</w:t>
            </w:r>
          </w:p>
          <w:p w14:paraId="554D01F2" w14:textId="5931805A" w:rsidR="00795294" w:rsidRPr="00795294" w:rsidRDefault="00795294" w:rsidP="00D1449F">
            <w:pPr>
              <w:shd w:val="clear" w:color="auto" w:fill="FFFFFF"/>
              <w:spacing w:before="60" w:after="60"/>
              <w:ind w:left="34" w:firstLine="1"/>
              <w:rPr>
                <w:rFonts w:asciiTheme="majorHAnsi" w:hAnsiTheme="majorHAnsi"/>
                <w:sz w:val="22"/>
              </w:rPr>
            </w:pPr>
            <w:r w:rsidRPr="00795294">
              <w:rPr>
                <w:rFonts w:asciiTheme="majorHAnsi" w:hAnsiTheme="majorHAnsi"/>
                <w:sz w:val="22"/>
              </w:rPr>
              <w:t xml:space="preserve">The </w:t>
            </w:r>
            <w:r w:rsidRPr="00EC7A51">
              <w:rPr>
                <w:rFonts w:asciiTheme="majorHAnsi" w:hAnsiTheme="majorHAnsi"/>
                <w:sz w:val="22"/>
              </w:rPr>
              <w:t>prolonged conflict and widespread displacement</w:t>
            </w:r>
            <w:r w:rsidRPr="00795294">
              <w:rPr>
                <w:rFonts w:asciiTheme="majorHAnsi" w:hAnsiTheme="majorHAnsi"/>
                <w:sz w:val="22"/>
              </w:rPr>
              <w:t xml:space="preserve"> further complicated the implementation of activities, disrupting traditional support systems and leaving many agripreneurs without access to inputs, markets, or production spaces. GUPAP responded by establishing community-led kitchens and community-led solidarity marketing campaigns to support displaced agripreneurs and their families. Emergency cash and in-kind support, such as seeds and tools, were mobilized to help displaced women agriprenuers rebuild their agricultural enterprises. Indigenous seed systems, like the community-led Al-Qarara Baladi Seed, were revived to reduce dependency on external inputs and enhance local resilience.</w:t>
            </w:r>
          </w:p>
          <w:p w14:paraId="06508459" w14:textId="77777777" w:rsidR="00795294" w:rsidRPr="00795294" w:rsidRDefault="00795294" w:rsidP="00D1449F">
            <w:pPr>
              <w:shd w:val="clear" w:color="auto" w:fill="FFFFFF"/>
              <w:spacing w:before="60" w:after="60"/>
              <w:ind w:left="34" w:firstLine="1"/>
              <w:rPr>
                <w:rFonts w:asciiTheme="majorHAnsi" w:hAnsiTheme="majorHAnsi"/>
                <w:sz w:val="22"/>
              </w:rPr>
            </w:pPr>
            <w:r w:rsidRPr="00EC7A51">
              <w:rPr>
                <w:rFonts w:asciiTheme="majorHAnsi" w:hAnsiTheme="majorHAnsi"/>
                <w:sz w:val="22"/>
              </w:rPr>
              <w:t>Policymakers and donors' focus on rural farming</w:t>
            </w:r>
            <w:r w:rsidRPr="00795294">
              <w:rPr>
                <w:rFonts w:asciiTheme="majorHAnsi" w:hAnsiTheme="majorHAnsi"/>
                <w:sz w:val="22"/>
              </w:rPr>
              <w:t xml:space="preserve"> presented another obstacle, as urban agriculture was often overlooked despite its potential to address food security and economic resilience in Gaza's urbanized context. GUPAP countered this by advocating for the integration of urban agriculture into local and national agricultural policies. Through publishing policy briefs and success stories, GUPAP demonstrated the impact of urban agricultural initiatives, gaining recognition and financial support from international donors.</w:t>
            </w:r>
          </w:p>
          <w:p w14:paraId="59F1FF3B" w14:textId="77777777" w:rsidR="00795294" w:rsidRPr="00795294" w:rsidRDefault="00795294" w:rsidP="00D1449F">
            <w:pPr>
              <w:shd w:val="clear" w:color="auto" w:fill="FFFFFF"/>
              <w:spacing w:before="60" w:after="60"/>
              <w:ind w:left="34" w:firstLine="1"/>
              <w:rPr>
                <w:rFonts w:asciiTheme="majorHAnsi" w:hAnsiTheme="majorHAnsi"/>
                <w:sz w:val="22"/>
              </w:rPr>
            </w:pPr>
            <w:r w:rsidRPr="004E64C9">
              <w:rPr>
                <w:rFonts w:asciiTheme="majorHAnsi" w:hAnsiTheme="majorHAnsi"/>
                <w:sz w:val="22"/>
              </w:rPr>
              <w:lastRenderedPageBreak/>
              <w:t>Restricted mobility and supply chain barriers</w:t>
            </w:r>
            <w:r w:rsidRPr="00795294">
              <w:rPr>
                <w:rFonts w:asciiTheme="majorHAnsi" w:hAnsiTheme="majorHAnsi"/>
                <w:sz w:val="22"/>
              </w:rPr>
              <w:t>, exacerbated by the blockade and crisis conditions, also limited access to essential inputs and markets for agripreneurs. In response, GUPAP encouraged local resource utilization, such as rooftop gardening and seed-saving practices, to reduce reliance on external supplies. Partnerships with local suppliers and markets facilitated solidarity marketing campaigns, ensuring fair pricing and market access for agripreneurs despite mobility restrictions.</w:t>
            </w:r>
          </w:p>
          <w:p w14:paraId="33D95D6A" w14:textId="77777777" w:rsidR="00795294" w:rsidRPr="00795294" w:rsidRDefault="00795294" w:rsidP="00D1449F">
            <w:pPr>
              <w:shd w:val="clear" w:color="auto" w:fill="FFFFFF"/>
              <w:spacing w:before="60" w:after="60"/>
              <w:ind w:left="34" w:firstLine="1"/>
              <w:rPr>
                <w:rFonts w:asciiTheme="majorHAnsi" w:hAnsiTheme="majorHAnsi"/>
                <w:sz w:val="22"/>
              </w:rPr>
            </w:pPr>
            <w:r w:rsidRPr="00795294">
              <w:rPr>
                <w:rFonts w:asciiTheme="majorHAnsi" w:hAnsiTheme="majorHAnsi"/>
                <w:sz w:val="22"/>
              </w:rPr>
              <w:t xml:space="preserve">Some </w:t>
            </w:r>
            <w:r w:rsidRPr="00E86369">
              <w:rPr>
                <w:rFonts w:asciiTheme="majorHAnsi" w:hAnsiTheme="majorHAnsi"/>
                <w:sz w:val="22"/>
              </w:rPr>
              <w:t>marginalized groups, including youth and displaced families</w:t>
            </w:r>
            <w:r w:rsidRPr="00795294">
              <w:rPr>
                <w:rFonts w:asciiTheme="majorHAnsi" w:hAnsiTheme="majorHAnsi"/>
                <w:sz w:val="22"/>
              </w:rPr>
              <w:t>, faced unique barriers to participation due to a lack of tailored opportunities. To promote inclusivity, GUPAP introduced flexible engagement methods, such as digital tools like WhatsApp groups and a technical support hotline, which allowed participants to access resources and guidance in real-time. Accessible capacity-sharing spaces and tailored interventions were also created, ensuring marginalized groups were represented in decision-making processes.</w:t>
            </w:r>
          </w:p>
          <w:p w14:paraId="34E18353" w14:textId="77777777" w:rsidR="00795294" w:rsidRPr="00795294" w:rsidRDefault="00795294" w:rsidP="00D1449F">
            <w:pPr>
              <w:shd w:val="clear" w:color="auto" w:fill="FFFFFF"/>
              <w:spacing w:before="60" w:after="60"/>
              <w:ind w:left="34" w:firstLine="1"/>
              <w:rPr>
                <w:rFonts w:asciiTheme="majorHAnsi" w:hAnsiTheme="majorHAnsi"/>
                <w:sz w:val="22"/>
              </w:rPr>
            </w:pPr>
            <w:r w:rsidRPr="00795294">
              <w:rPr>
                <w:rFonts w:asciiTheme="majorHAnsi" w:hAnsiTheme="majorHAnsi"/>
                <w:sz w:val="22"/>
              </w:rPr>
              <w:t xml:space="preserve">Finally, the </w:t>
            </w:r>
            <w:r w:rsidRPr="00BF38B2">
              <w:rPr>
                <w:rFonts w:asciiTheme="majorHAnsi" w:hAnsiTheme="majorHAnsi"/>
                <w:sz w:val="22"/>
              </w:rPr>
              <w:t>psychological toll of prolonged crises</w:t>
            </w:r>
            <w:r w:rsidRPr="00795294">
              <w:rPr>
                <w:rFonts w:asciiTheme="majorHAnsi" w:hAnsiTheme="majorHAnsi"/>
                <w:sz w:val="22"/>
              </w:rPr>
              <w:t xml:space="preserve"> left many community members demotivated and fatigued, hindering their active participation in interventions. GUPAP fostered collective resilience through solidarity initiatives like community-led kitchens and marketing campaigns, providing economic resilience opportunities and emotional support. Resilience and success stories and public recognition of achievements were shared widely to inspire hope and motivate continued engagement.</w:t>
            </w:r>
          </w:p>
          <w:p w14:paraId="674BE4DB" w14:textId="46CEC51F" w:rsidR="007C7C4A" w:rsidRPr="00A32CD9" w:rsidRDefault="007C7C4A" w:rsidP="00D1449F">
            <w:pPr>
              <w:shd w:val="clear" w:color="auto" w:fill="FFFFFF"/>
              <w:spacing w:before="60" w:after="60"/>
              <w:ind w:left="34" w:firstLine="1"/>
              <w:rPr>
                <w:rFonts w:asciiTheme="majorHAnsi" w:hAnsiTheme="majorHAnsi"/>
                <w:sz w:val="22"/>
              </w:rPr>
            </w:pPr>
          </w:p>
        </w:tc>
      </w:tr>
      <w:tr w:rsidR="00663985" w:rsidRPr="00A32CD9" w14:paraId="02F7002C" w14:textId="77777777" w:rsidTr="00450FCD">
        <w:trPr>
          <w:trHeight w:val="369"/>
        </w:trPr>
        <w:tc>
          <w:tcPr>
            <w:tcW w:w="5000" w:type="pct"/>
            <w:gridSpan w:val="2"/>
          </w:tcPr>
          <w:p w14:paraId="2060CFA4" w14:textId="77777777" w:rsidR="002737B7" w:rsidRPr="006D00DD" w:rsidRDefault="009408F4" w:rsidP="00D1449F">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lastRenderedPageBreak/>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3AD248C2" w14:textId="77777777" w:rsidR="006D00DD" w:rsidRDefault="006D00DD" w:rsidP="00D1449F">
            <w:pPr>
              <w:shd w:val="clear" w:color="auto" w:fill="FFFFFF"/>
              <w:spacing w:before="60" w:after="60"/>
              <w:rPr>
                <w:rFonts w:asciiTheme="majorHAnsi" w:hAnsiTheme="majorHAnsi"/>
                <w:sz w:val="22"/>
              </w:rPr>
            </w:pPr>
          </w:p>
          <w:p w14:paraId="1BE6FD1C" w14:textId="77777777" w:rsidR="007F541B" w:rsidRPr="007F541B"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A critical insight is that </w:t>
            </w:r>
            <w:r w:rsidRPr="00966DE6">
              <w:rPr>
                <w:rFonts w:asciiTheme="majorHAnsi" w:hAnsiTheme="majorHAnsi"/>
                <w:sz w:val="22"/>
              </w:rPr>
              <w:t>community ownership drives sustainability</w:t>
            </w:r>
            <w:r w:rsidRPr="007F541B">
              <w:rPr>
                <w:rFonts w:asciiTheme="majorHAnsi" w:hAnsiTheme="majorHAnsi"/>
                <w:sz w:val="22"/>
              </w:rPr>
              <w:t>. Interventions become more resilient and impactful by prioritizing community-led actions, such as those led by the Urban Women Agripreneurs Forum (UWAF). When communities take ownership of initiatives, they are better equipped to sustain progress despite crises. For instance, women agripreneurs involved in UWAF have independently organized solidarity marketing campaigns, successfully distributing locally produced food to marginalized families without external facilitation, showcasing the enduring strength of local leadership.</w:t>
            </w:r>
          </w:p>
          <w:p w14:paraId="0788E475" w14:textId="70132942" w:rsidR="007F541B" w:rsidRPr="007F541B" w:rsidRDefault="007F541B" w:rsidP="00D1449F">
            <w:pPr>
              <w:shd w:val="clear" w:color="auto" w:fill="FFFFFF"/>
              <w:spacing w:before="60" w:after="60"/>
              <w:rPr>
                <w:rFonts w:asciiTheme="majorHAnsi" w:hAnsiTheme="majorHAnsi"/>
                <w:sz w:val="22"/>
              </w:rPr>
            </w:pPr>
            <w:r w:rsidRPr="00966DE6">
              <w:rPr>
                <w:rFonts w:asciiTheme="majorHAnsi" w:hAnsiTheme="majorHAnsi"/>
                <w:sz w:val="22"/>
              </w:rPr>
              <w:t>Inclusive participation ensures a broader impact</w:t>
            </w:r>
            <w:r w:rsidRPr="007F541B">
              <w:rPr>
                <w:rFonts w:asciiTheme="majorHAnsi" w:hAnsiTheme="majorHAnsi"/>
                <w:sz w:val="22"/>
              </w:rPr>
              <w:t xml:space="preserve">, particularly when deliberate efforts are made to include marginalized groups like displaced families and youth. Tailored approaches that address intersecting vulnerabilities have been essential in amplifying the effects of community engagement activities. For example, GUPAP’s hotline and on-site advisory services have enabled displaced agripreneurs to rebuild their businesses, promoting both economic </w:t>
            </w:r>
            <w:r w:rsidR="00966DE6">
              <w:rPr>
                <w:rFonts w:asciiTheme="majorHAnsi" w:hAnsiTheme="majorHAnsi"/>
                <w:sz w:val="22"/>
              </w:rPr>
              <w:t>resilience</w:t>
            </w:r>
            <w:r w:rsidRPr="007F541B">
              <w:rPr>
                <w:rFonts w:asciiTheme="majorHAnsi" w:hAnsiTheme="majorHAnsi"/>
                <w:sz w:val="22"/>
              </w:rPr>
              <w:t xml:space="preserve"> and social inclusion.</w:t>
            </w:r>
          </w:p>
          <w:p w14:paraId="29B10258" w14:textId="384C5680" w:rsidR="007F541B" w:rsidRPr="007F541B"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Another significant lesson is that </w:t>
            </w:r>
            <w:r w:rsidRPr="00966DE6">
              <w:rPr>
                <w:rFonts w:asciiTheme="majorHAnsi" w:hAnsiTheme="majorHAnsi"/>
                <w:sz w:val="22"/>
              </w:rPr>
              <w:t>gender-transformative approaches create systemic change</w:t>
            </w:r>
            <w:r w:rsidRPr="007F541B">
              <w:rPr>
                <w:rFonts w:asciiTheme="majorHAnsi" w:hAnsiTheme="majorHAnsi"/>
                <w:sz w:val="22"/>
              </w:rPr>
              <w:t xml:space="preserve">. Promoting women’s leadership in traditionally male-dominated spaces has transformed societal norms and addressed entrenched power imbalances. Advocacy for gender-responsive policies has institutionalized these changes, ensuring their sustainability. Through GUPAP’s efforts, women agripreneurs now play a pivotal role in shaping agricultural policies and food aid strategies, challenging traditional gender norms, and making their contributions critical to </w:t>
            </w:r>
            <w:r w:rsidR="00A77C25">
              <w:rPr>
                <w:rFonts w:asciiTheme="majorHAnsi" w:hAnsiTheme="majorHAnsi"/>
                <w:sz w:val="22"/>
              </w:rPr>
              <w:t xml:space="preserve">resilience and </w:t>
            </w:r>
            <w:r w:rsidRPr="007F541B">
              <w:rPr>
                <w:rFonts w:asciiTheme="majorHAnsi" w:hAnsiTheme="majorHAnsi"/>
                <w:sz w:val="22"/>
              </w:rPr>
              <w:t>recovery plans.</w:t>
            </w:r>
          </w:p>
          <w:p w14:paraId="06B3B966" w14:textId="48DB6EA7" w:rsidR="007F541B" w:rsidRPr="007F541B"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The effectiveness of </w:t>
            </w:r>
            <w:r w:rsidRPr="00A77C25">
              <w:rPr>
                <w:rFonts w:asciiTheme="majorHAnsi" w:hAnsiTheme="majorHAnsi"/>
                <w:sz w:val="22"/>
              </w:rPr>
              <w:t>participatory advocacy in policy integration</w:t>
            </w:r>
            <w:r w:rsidRPr="007F541B">
              <w:rPr>
                <w:rFonts w:asciiTheme="majorHAnsi" w:hAnsiTheme="majorHAnsi"/>
                <w:sz w:val="22"/>
              </w:rPr>
              <w:t xml:space="preserve"> has been a standout learning point. Advocacy efforts rooted in community engagement have successfully influenced policy and </w:t>
            </w:r>
            <w:r w:rsidR="00A77C25">
              <w:rPr>
                <w:rFonts w:asciiTheme="majorHAnsi" w:hAnsiTheme="majorHAnsi"/>
                <w:sz w:val="22"/>
              </w:rPr>
              <w:t>highlighted</w:t>
            </w:r>
            <w:r w:rsidRPr="007F541B">
              <w:rPr>
                <w:rFonts w:asciiTheme="majorHAnsi" w:hAnsiTheme="majorHAnsi"/>
                <w:sz w:val="22"/>
              </w:rPr>
              <w:t xml:space="preserve"> urban agriculture into Gaza’s national recovery strategies. GUPAP’s participatory policy briefs and discussions have played a key role in elevating urban agriculture as a critical food security and resilience planning component.</w:t>
            </w:r>
          </w:p>
          <w:p w14:paraId="37DC1FD9" w14:textId="5B15ECB6" w:rsidR="007F541B" w:rsidRPr="007F541B"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Leveraging </w:t>
            </w:r>
            <w:r w:rsidRPr="00A77C25">
              <w:rPr>
                <w:rFonts w:asciiTheme="majorHAnsi" w:hAnsiTheme="majorHAnsi"/>
                <w:sz w:val="22"/>
              </w:rPr>
              <w:t>local resources to build resilience</w:t>
            </w:r>
            <w:r w:rsidRPr="007F541B">
              <w:rPr>
                <w:rFonts w:asciiTheme="majorHAnsi" w:hAnsiTheme="majorHAnsi"/>
                <w:sz w:val="22"/>
              </w:rPr>
              <w:t xml:space="preserve"> has further strengthened GUPAP’s approach. The initiative has reduced dependency on external inputs and enhanced resilience to supply chain disruptions by utilizing resources like indigenous seeds and rooftop gardening. The community-led revival of the Al-Qarara Baladi Seed, which ensures access to indigenous seeds for over 78 farming families, has preserved biodiversity and food </w:t>
            </w:r>
            <w:r w:rsidR="007E2241">
              <w:rPr>
                <w:rFonts w:asciiTheme="majorHAnsi" w:hAnsiTheme="majorHAnsi"/>
                <w:sz w:val="22"/>
              </w:rPr>
              <w:t>resilience</w:t>
            </w:r>
            <w:r w:rsidRPr="007F541B">
              <w:rPr>
                <w:rFonts w:asciiTheme="majorHAnsi" w:hAnsiTheme="majorHAnsi"/>
                <w:sz w:val="22"/>
              </w:rPr>
              <w:t>, serving as a model for resource-based resilience.</w:t>
            </w:r>
          </w:p>
          <w:p w14:paraId="12BE9E9A" w14:textId="77777777" w:rsidR="007F541B" w:rsidRPr="007F541B" w:rsidRDefault="007F541B" w:rsidP="00D1449F">
            <w:pPr>
              <w:shd w:val="clear" w:color="auto" w:fill="FFFFFF"/>
              <w:spacing w:before="60" w:after="60"/>
              <w:rPr>
                <w:rFonts w:asciiTheme="majorHAnsi" w:hAnsiTheme="majorHAnsi"/>
                <w:sz w:val="22"/>
              </w:rPr>
            </w:pPr>
            <w:r w:rsidRPr="007E2241">
              <w:rPr>
                <w:rFonts w:asciiTheme="majorHAnsi" w:hAnsiTheme="majorHAnsi"/>
                <w:sz w:val="22"/>
              </w:rPr>
              <w:lastRenderedPageBreak/>
              <w:t>Adaptive approaches</w:t>
            </w:r>
            <w:r w:rsidRPr="007F541B">
              <w:rPr>
                <w:rFonts w:asciiTheme="majorHAnsi" w:hAnsiTheme="majorHAnsi"/>
                <w:sz w:val="22"/>
              </w:rPr>
              <w:t xml:space="preserve"> have proven vital for navigating the complexities of prolonged crises, such as resource scarcity and restricted mobility. GUPAP’s use of digital tools, including WhatsApp groups and remote advisory services, ensured the continuity of interventions during conflict-induced disruptions, highlighting the importance of flexibility in dynamic environments.</w:t>
            </w:r>
          </w:p>
          <w:p w14:paraId="35D73A76" w14:textId="77777777" w:rsidR="007F541B" w:rsidRPr="007F541B"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The power of </w:t>
            </w:r>
            <w:r w:rsidRPr="007E2241">
              <w:rPr>
                <w:rFonts w:asciiTheme="majorHAnsi" w:hAnsiTheme="majorHAnsi"/>
                <w:sz w:val="22"/>
              </w:rPr>
              <w:t>success stories in inspiring participation and hope</w:t>
            </w:r>
            <w:r w:rsidRPr="007F541B">
              <w:rPr>
                <w:rFonts w:asciiTheme="majorHAnsi" w:hAnsiTheme="majorHAnsi"/>
                <w:sz w:val="22"/>
              </w:rPr>
              <w:t xml:space="preserve"> cannot be overstated. Sharing testimonials from women agripreneurs who have regained their livelihoods and assumed leadership roles has motivated other community members to engage in urban agricultural initiatives, fostering a culture of resilience and empowerment.</w:t>
            </w:r>
          </w:p>
          <w:p w14:paraId="1CEA8368" w14:textId="77777777" w:rsidR="007F541B" w:rsidRPr="007F541B"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Building </w:t>
            </w:r>
            <w:r w:rsidRPr="0075235B">
              <w:rPr>
                <w:rFonts w:asciiTheme="majorHAnsi" w:hAnsiTheme="majorHAnsi"/>
                <w:sz w:val="22"/>
              </w:rPr>
              <w:t>social cohesion to strengthen community resilience</w:t>
            </w:r>
            <w:r w:rsidRPr="007F541B">
              <w:rPr>
                <w:rFonts w:asciiTheme="majorHAnsi" w:hAnsiTheme="majorHAnsi"/>
                <w:sz w:val="22"/>
              </w:rPr>
              <w:t xml:space="preserve"> has been another key takeaway. Collective initiatives like community-led kitchens and solidarity marketing campaigns have rebuilt trust and fostered collaboration among diverse community members, even in fragmented contexts. These efforts have provided both economic opportunities and social support for displaced women and low-income families, strengthening bonds and mutual reliance.</w:t>
            </w:r>
          </w:p>
          <w:p w14:paraId="6BBFEBA5" w14:textId="77777777" w:rsidR="007F541B" w:rsidRPr="0075235B"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The importance of </w:t>
            </w:r>
            <w:r w:rsidRPr="0075235B">
              <w:rPr>
                <w:rFonts w:asciiTheme="majorHAnsi" w:hAnsiTheme="majorHAnsi"/>
                <w:sz w:val="22"/>
              </w:rPr>
              <w:t>evidence-based interventions</w:t>
            </w:r>
            <w:r w:rsidRPr="007F541B">
              <w:rPr>
                <w:rFonts w:asciiTheme="majorHAnsi" w:hAnsiTheme="majorHAnsi"/>
                <w:sz w:val="22"/>
              </w:rPr>
              <w:t xml:space="preserve"> has emerged as a critical lesson. Documenting quantitative outcomes and qualitative impacts enhances the credibility and scalability of interventions. GUPAP’s success in scaling urban agricultural practices has been recognized internationally, earning awards such as the </w:t>
            </w:r>
            <w:r w:rsidRPr="0075235B">
              <w:rPr>
                <w:rFonts w:asciiTheme="majorHAnsi" w:hAnsiTheme="majorHAnsi"/>
                <w:sz w:val="22"/>
              </w:rPr>
              <w:t>Lush Spring Prize (2021) and the Zayed Sustainability Prize (2023).</w:t>
            </w:r>
          </w:p>
          <w:p w14:paraId="0D07E55E" w14:textId="06178933" w:rsidR="007F541B" w:rsidRPr="006D00DD" w:rsidRDefault="007F541B" w:rsidP="00D1449F">
            <w:pPr>
              <w:shd w:val="clear" w:color="auto" w:fill="FFFFFF"/>
              <w:spacing w:before="60" w:after="60"/>
              <w:rPr>
                <w:rFonts w:asciiTheme="majorHAnsi" w:hAnsiTheme="majorHAnsi"/>
                <w:sz w:val="22"/>
              </w:rPr>
            </w:pPr>
            <w:r w:rsidRPr="007F541B">
              <w:rPr>
                <w:rFonts w:asciiTheme="majorHAnsi" w:hAnsiTheme="majorHAnsi"/>
                <w:sz w:val="22"/>
              </w:rPr>
              <w:t xml:space="preserve">Finally, addressing </w:t>
            </w:r>
            <w:r w:rsidRPr="0075235B">
              <w:rPr>
                <w:rFonts w:asciiTheme="majorHAnsi" w:hAnsiTheme="majorHAnsi"/>
                <w:sz w:val="22"/>
              </w:rPr>
              <w:t>intersectionality to tackle systemic barriers</w:t>
            </w:r>
            <w:r w:rsidRPr="007F541B">
              <w:rPr>
                <w:rFonts w:asciiTheme="majorHAnsi" w:hAnsiTheme="majorHAnsi"/>
                <w:sz w:val="22"/>
              </w:rPr>
              <w:t xml:space="preserve"> has been fundamental. Recognizing the unique challenges faced by individuals based on intersecting vulnerabilities—such as gender, displacement, and socioeconomic status—ensures that no one is left behind. Tailored interventions for displaced and vulnerable women agripreneurs have demonstrated the value of this approach in achieving meaningful and inclusive impact. </w:t>
            </w:r>
          </w:p>
        </w:tc>
      </w:tr>
      <w:tr w:rsidR="00F115AA" w:rsidRPr="00A32CD9" w14:paraId="29A4E3BF" w14:textId="77777777" w:rsidTr="00450FCD">
        <w:trPr>
          <w:trHeight w:val="369"/>
        </w:trPr>
        <w:tc>
          <w:tcPr>
            <w:tcW w:w="5000" w:type="pct"/>
            <w:gridSpan w:val="2"/>
          </w:tcPr>
          <w:p w14:paraId="35BD3231" w14:textId="77777777" w:rsidR="00F115AA" w:rsidRPr="00EC5EA3" w:rsidRDefault="0003099D" w:rsidP="00D1449F">
            <w:pPr>
              <w:pStyle w:val="ListParagraph"/>
              <w:numPr>
                <w:ilvl w:val="0"/>
                <w:numId w:val="48"/>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4DE9EB1B" w14:textId="77777777" w:rsidR="00EC5EA3" w:rsidRPr="00EC5EA3" w:rsidRDefault="00EC5EA3" w:rsidP="00D1449F">
            <w:pPr>
              <w:shd w:val="clear" w:color="auto" w:fill="FFFFFF"/>
              <w:spacing w:before="60" w:after="60"/>
              <w:rPr>
                <w:rFonts w:asciiTheme="majorHAnsi" w:hAnsiTheme="majorHAnsi" w:cs="Calibri"/>
                <w:sz w:val="22"/>
                <w:lang w:eastAsia="en-GB"/>
              </w:rPr>
            </w:pPr>
          </w:p>
          <w:p w14:paraId="322F457C" w14:textId="197A419F" w:rsidR="00686443" w:rsidRPr="0068644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 xml:space="preserve">Within Gaza, this practice has expanded significantly. The Urban Women Agripreneurs Forum (UWAF), a central platform of the initiative, now supports over </w:t>
            </w:r>
            <w:r w:rsidR="002D266B">
              <w:rPr>
                <w:rFonts w:asciiTheme="majorHAnsi" w:hAnsiTheme="majorHAnsi" w:cs="Calibri"/>
                <w:sz w:val="22"/>
                <w:lang w:val="en-GB" w:eastAsia="en-GB"/>
              </w:rPr>
              <w:t>500</w:t>
            </w:r>
            <w:r w:rsidRPr="00686443">
              <w:rPr>
                <w:rFonts w:asciiTheme="majorHAnsi" w:hAnsiTheme="majorHAnsi" w:cs="Calibri"/>
                <w:sz w:val="22"/>
                <w:lang w:val="en-GB" w:eastAsia="en-GB"/>
              </w:rPr>
              <w:t xml:space="preserve"> women agripreneurs engaged in diverse agricultural activities, including plant production, food processing, and animal production. This expansion has been complemented by establishing the City Food System Actor Network (CFSAN), a collaborative platform that brings together technical representatives from government ministries, municipalities, university researchers, agricultural experts, and women </w:t>
            </w:r>
            <w:r w:rsidR="00CF2360">
              <w:rPr>
                <w:rFonts w:asciiTheme="majorHAnsi" w:hAnsiTheme="majorHAnsi" w:cs="Calibri"/>
                <w:sz w:val="22"/>
                <w:lang w:val="en-GB" w:eastAsia="en-GB"/>
              </w:rPr>
              <w:t>agriprenuers</w:t>
            </w:r>
            <w:r w:rsidRPr="00686443">
              <w:rPr>
                <w:rFonts w:asciiTheme="majorHAnsi" w:hAnsiTheme="majorHAnsi" w:cs="Calibri"/>
                <w:sz w:val="22"/>
                <w:lang w:val="en-GB" w:eastAsia="en-GB"/>
              </w:rPr>
              <w:t>. This network becomes a critical space for addressing local food system challenges and fostering participatory advocacy.</w:t>
            </w:r>
          </w:p>
          <w:p w14:paraId="5A898069" w14:textId="77777777" w:rsidR="00686443" w:rsidRPr="0068644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Key interventions, such as solidarity marketing campaigns, have also been scaled across multiple urban neighborhoods in Gaza. These campaigns connect women agripreneurs with vulnerable and displaced families, providing access to local markets while addressing food insecurity. Similarly, the community-led revival of the Al-Qarara Baladi Seed has become a model for preserving indigenous seeds, promoting food sovereignty, and enhancing local resilience. These successes demonstrate the adaptability of the practice to diverse urban contexts within the same geographic region.</w:t>
            </w:r>
          </w:p>
          <w:p w14:paraId="6810183B" w14:textId="6424A994" w:rsidR="00686443" w:rsidRPr="0068644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 xml:space="preserve">Beyond Gaza, the principles and mechanisms of this good practice hold significant potential for replication in other parts of the world. Core elements such as solidarity marketing, participatory advisory services, and urban agroecology are particularly relevant to regions facing protracted crises, urbanization, and resource scarcity. The practice’s alignment with the Sustainable Development Goals (SDGs) further underscores its relevance for global application, </w:t>
            </w:r>
            <w:r w:rsidR="00F9711E" w:rsidRPr="00686443">
              <w:rPr>
                <w:rFonts w:asciiTheme="majorHAnsi" w:hAnsiTheme="majorHAnsi" w:cs="Calibri"/>
                <w:sz w:val="22"/>
                <w:lang w:val="en-GB" w:eastAsia="en-GB"/>
              </w:rPr>
              <w:t>where similar conditions prevail</w:t>
            </w:r>
            <w:r w:rsidR="00F9711E">
              <w:rPr>
                <w:rFonts w:asciiTheme="majorHAnsi" w:hAnsiTheme="majorHAnsi" w:cs="Calibri"/>
                <w:sz w:val="22"/>
                <w:lang w:val="en-GB" w:eastAsia="en-GB"/>
              </w:rPr>
              <w:t xml:space="preserve">, </w:t>
            </w:r>
            <w:r w:rsidRPr="00686443">
              <w:rPr>
                <w:rFonts w:asciiTheme="majorHAnsi" w:hAnsiTheme="majorHAnsi" w:cs="Calibri"/>
                <w:sz w:val="22"/>
                <w:lang w:val="en-GB" w:eastAsia="en-GB"/>
              </w:rPr>
              <w:t>particularly in</w:t>
            </w:r>
            <w:r w:rsidR="00F9711E">
              <w:rPr>
                <w:rFonts w:asciiTheme="majorHAnsi" w:hAnsiTheme="majorHAnsi" w:cs="Calibri"/>
                <w:sz w:val="22"/>
                <w:lang w:val="en-GB" w:eastAsia="en-GB"/>
              </w:rPr>
              <w:t xml:space="preserve"> </w:t>
            </w:r>
            <w:r w:rsidR="00F9711E" w:rsidRPr="00686443">
              <w:rPr>
                <w:rFonts w:asciiTheme="majorHAnsi" w:hAnsiTheme="majorHAnsi" w:cs="Calibri"/>
                <w:sz w:val="22"/>
                <w:lang w:val="en-GB" w:eastAsia="en-GB"/>
              </w:rPr>
              <w:t>refugee camps in the Middle East, resource-scarce urban areas in Sub-Saharan Africa, and densely populated, food-insecure urban regions in South Asia</w:t>
            </w:r>
            <w:r w:rsidR="00F9711E">
              <w:rPr>
                <w:rFonts w:asciiTheme="majorHAnsi" w:hAnsiTheme="majorHAnsi" w:cs="Calibri"/>
                <w:sz w:val="22"/>
                <w:lang w:val="en-GB" w:eastAsia="en-GB"/>
              </w:rPr>
              <w:t xml:space="preserve">. </w:t>
            </w:r>
          </w:p>
          <w:p w14:paraId="4C7E7257" w14:textId="77777777" w:rsidR="00686443" w:rsidRPr="0068644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 xml:space="preserve">Certain conditions are necessary for successfully replicating and adapting this practice to new contexts. First and foremost, strong community engagement and local ownership are critical. A robust </w:t>
            </w:r>
            <w:r w:rsidRPr="00686443">
              <w:rPr>
                <w:rFonts w:asciiTheme="majorHAnsi" w:hAnsiTheme="majorHAnsi" w:cs="Calibri"/>
                <w:sz w:val="22"/>
                <w:lang w:val="en-GB" w:eastAsia="en-GB"/>
              </w:rPr>
              <w:lastRenderedPageBreak/>
              <w:t>foundation of community-led organizations, such as UWAF, ensures that interventions are locally driven, contextually relevant, and sustainable. Additionally, inclusive and participatory processes are essential to engage marginalized groups, including women, youth, and displaced populations. Approaches like peer-to-peer learning and tailored capacity-sharing programs effectively address diverse needs.</w:t>
            </w:r>
          </w:p>
          <w:p w14:paraId="29F54474" w14:textId="77777777" w:rsidR="00686443" w:rsidRPr="0068644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Another key factor is access to agroecological knowledge and practices. Techniques like rooftop gardening, seed conservation, and water-efficient farming are crucial in reducing dependency on external inputs and enhancing resilience. Training programs and advisory services, such as GUPAP’s Community-Led Family Farming Advisory Services (CLFFAS), offer replicable models for building these capabilities.</w:t>
            </w:r>
          </w:p>
          <w:p w14:paraId="414FEF9B" w14:textId="77777777" w:rsidR="00686443" w:rsidRPr="0068644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Policy advocacy is equally important, as it helps integrate urban agriculture into local and national frameworks. Publishing policy briefs, engaging stakeholders, and institutionalizing urban agricultural practices ensure that these initiatives have long-term impact and scalability. Partnerships and collaboration are also vital, enabling resource mobilization and enhancing sustainability. Working with local authorities, civil society organizations, and international donors amplifies the effectiveness of interventions and broadens their reach.</w:t>
            </w:r>
          </w:p>
          <w:p w14:paraId="32A7E281" w14:textId="77777777" w:rsidR="00686443" w:rsidRPr="0068644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Understanding the local context, including cultural norms, resource availability, and community priorities, is another critical condition for replication. Conducting participatory needs and capacity assessments ensures that interventions are tailored to the unique challenges of each setting. Flexibility and adaptability are also essential, especially in dynamic contexts of displacement, resource scarcity, or conflict. Digital tools, such as WhatsApp groups and hotlines, provide effective means of real-time engagement and adaptive implementation.</w:t>
            </w:r>
          </w:p>
          <w:p w14:paraId="0BBE969E" w14:textId="75870A27" w:rsidR="00EC5EA3" w:rsidRPr="00EC5EA3" w:rsidRDefault="00686443" w:rsidP="00D1449F">
            <w:pPr>
              <w:shd w:val="clear" w:color="auto" w:fill="FFFFFF"/>
              <w:spacing w:before="60" w:after="60"/>
              <w:rPr>
                <w:rFonts w:asciiTheme="majorHAnsi" w:hAnsiTheme="majorHAnsi" w:cs="Calibri"/>
                <w:sz w:val="22"/>
                <w:lang w:val="en-GB" w:eastAsia="en-GB"/>
              </w:rPr>
            </w:pPr>
            <w:r w:rsidRPr="00686443">
              <w:rPr>
                <w:rFonts w:asciiTheme="majorHAnsi" w:hAnsiTheme="majorHAnsi" w:cs="Calibri"/>
                <w:sz w:val="22"/>
                <w:lang w:val="en-GB" w:eastAsia="en-GB"/>
              </w:rPr>
              <w:t>The success of GUPAP’s practice in scaling policy influencing and solidarity marketing campaigns across Gaza and gaining international recognition—such as the Lush Spring Prize in 2021 and the Zayed Sustainability Prize in 2023—further demonstrates its replicability and scalability. These achievements have increased global awareness of the practice, showcasing its potential for adaptation in diverse settings.</w:t>
            </w:r>
          </w:p>
        </w:tc>
      </w:tr>
      <w:tr w:rsidR="0012494A" w:rsidRPr="00A32CD9" w14:paraId="13465AEF" w14:textId="77777777" w:rsidTr="00450FCD">
        <w:trPr>
          <w:trHeight w:val="369"/>
        </w:trPr>
        <w:tc>
          <w:tcPr>
            <w:tcW w:w="5000" w:type="pct"/>
            <w:gridSpan w:val="2"/>
          </w:tcPr>
          <w:p w14:paraId="0413EBCE" w14:textId="18D28AD4" w:rsidR="00DF7DA1" w:rsidRPr="00A32CD9" w:rsidRDefault="00013E09" w:rsidP="00D1449F">
            <w:pPr>
              <w:pStyle w:val="ListParagraph"/>
              <w:numPr>
                <w:ilvl w:val="0"/>
                <w:numId w:val="48"/>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0720AA37" w14:textId="77777777" w:rsidR="0012494A" w:rsidRDefault="008F584E" w:rsidP="00D1449F">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17CD1684" w14:textId="77777777" w:rsidR="00D10217" w:rsidRDefault="00D10217" w:rsidP="00D1449F">
            <w:pPr>
              <w:pStyle w:val="ListParagraph"/>
              <w:numPr>
                <w:ilvl w:val="0"/>
                <w:numId w:val="0"/>
              </w:numPr>
              <w:shd w:val="clear" w:color="auto" w:fill="FFFFFF"/>
              <w:spacing w:before="60" w:after="60"/>
              <w:ind w:left="720"/>
              <w:rPr>
                <w:rFonts w:asciiTheme="majorHAnsi" w:hAnsiTheme="majorHAnsi" w:cs="Calibri"/>
                <w:i/>
                <w:iCs/>
                <w:sz w:val="22"/>
                <w:lang w:val="en-GB" w:eastAsia="en-GB"/>
              </w:rPr>
            </w:pPr>
          </w:p>
          <w:p w14:paraId="65BFE579" w14:textId="77777777" w:rsidR="00D10217" w:rsidRPr="00D10217" w:rsidRDefault="00D10217" w:rsidP="00D1449F">
            <w:pPr>
              <w:shd w:val="clear" w:color="auto" w:fill="FFFFFF"/>
              <w:spacing w:before="60" w:after="60"/>
              <w:ind w:hanging="42"/>
              <w:rPr>
                <w:rFonts w:asciiTheme="majorHAnsi" w:hAnsiTheme="majorHAnsi" w:cs="Calibri"/>
                <w:sz w:val="22"/>
                <w:lang w:val="en-GB" w:eastAsia="en-GB"/>
              </w:rPr>
            </w:pPr>
            <w:r w:rsidRPr="00D10217">
              <w:rPr>
                <w:rFonts w:asciiTheme="majorHAnsi" w:hAnsiTheme="majorHAnsi" w:cs="Calibri"/>
                <w:sz w:val="22"/>
                <w:lang w:val="en-GB" w:eastAsia="en-GB"/>
              </w:rPr>
              <w:t>A key factor in the sustainability of this practice is its emphasis on local ownership and community leadership. By empowering local actors, particularly women agripreneurs, through platforms such as the Urban Women Agripreneurs Forum (UWAF), GUPAP ensures that the planning, implementation, and resource distribution processes are led by those directly involved. This sense of ownership strengthens the relevance of the initiatives to local needs and ensures that they are maintained over time. The ability of women agripreneurs to independently organize solidarity marketing campaigns, for example, highlights their capacity to sustain these efforts without external facilitation.</w:t>
            </w:r>
          </w:p>
          <w:p w14:paraId="0DD34EE4" w14:textId="77777777" w:rsidR="00D10217" w:rsidRPr="00D10217" w:rsidRDefault="00D10217" w:rsidP="00D1449F">
            <w:pPr>
              <w:shd w:val="clear" w:color="auto" w:fill="FFFFFF"/>
              <w:spacing w:before="60" w:after="60"/>
              <w:ind w:hanging="42"/>
              <w:rPr>
                <w:rFonts w:asciiTheme="majorHAnsi" w:hAnsiTheme="majorHAnsi" w:cs="Calibri"/>
                <w:sz w:val="22"/>
                <w:lang w:val="en-GB" w:eastAsia="en-GB"/>
              </w:rPr>
            </w:pPr>
            <w:r w:rsidRPr="00D10217">
              <w:rPr>
                <w:rFonts w:asciiTheme="majorHAnsi" w:hAnsiTheme="majorHAnsi" w:cs="Calibri"/>
                <w:sz w:val="22"/>
                <w:lang w:val="en-GB" w:eastAsia="en-GB"/>
              </w:rPr>
              <w:t>Inclusive participation and capacity building also play a central role in ensuring sustainability. The practice broadens its reach and ensures equitable benefit-sharing by engaging marginalized groups such as women, youth, and displaced families. Tailored training programs, peer-to-peer learning networks, and technical advisory services equip community members with the skills and knowledge necessary to sustain agricultural production, market engagement, and advocacy efforts. These tools enable participants to take ownership of their roles in the broader food system, contributing to long-term resilience.</w:t>
            </w:r>
          </w:p>
          <w:p w14:paraId="7E8644EF" w14:textId="3514B530" w:rsidR="00D10217" w:rsidRPr="00D10217" w:rsidRDefault="00D10217" w:rsidP="00D1449F">
            <w:pPr>
              <w:shd w:val="clear" w:color="auto" w:fill="FFFFFF"/>
              <w:spacing w:before="60" w:after="60"/>
              <w:ind w:hanging="42"/>
              <w:rPr>
                <w:rFonts w:asciiTheme="majorHAnsi" w:hAnsiTheme="majorHAnsi" w:cs="Calibri"/>
                <w:sz w:val="22"/>
                <w:lang w:val="en-GB" w:eastAsia="en-GB"/>
              </w:rPr>
            </w:pPr>
            <w:r w:rsidRPr="00D10217">
              <w:rPr>
                <w:rFonts w:asciiTheme="majorHAnsi" w:hAnsiTheme="majorHAnsi" w:cs="Calibri"/>
                <w:sz w:val="22"/>
                <w:lang w:val="en-GB" w:eastAsia="en-GB"/>
              </w:rPr>
              <w:t xml:space="preserve">Another critical factor is integrating agroecological practices and using local resources, which enhance both environmental and economic sustainability. Techniques such as rooftop gardening, water-efficient farming, and the revival of the community-led Al-Qarara Baladi Seed have reduced reliance on external inputs and preserved local biodiversity. The Baladi seed, in particular, ensures that </w:t>
            </w:r>
            <w:r w:rsidRPr="00D10217">
              <w:rPr>
                <w:rFonts w:asciiTheme="majorHAnsi" w:hAnsiTheme="majorHAnsi" w:cs="Calibri"/>
                <w:sz w:val="22"/>
                <w:lang w:val="en-GB" w:eastAsia="en-GB"/>
              </w:rPr>
              <w:lastRenderedPageBreak/>
              <w:t xml:space="preserve">farming families have access to indigenous seeds, safeguarding their ability to adapt to changing conditions and maintain food </w:t>
            </w:r>
            <w:r w:rsidR="005C6CCB">
              <w:rPr>
                <w:rFonts w:asciiTheme="majorHAnsi" w:hAnsiTheme="majorHAnsi" w:cs="Calibri"/>
                <w:sz w:val="22"/>
                <w:lang w:val="en-GB" w:eastAsia="en-GB"/>
              </w:rPr>
              <w:t>resilience</w:t>
            </w:r>
            <w:r w:rsidRPr="00D10217">
              <w:rPr>
                <w:rFonts w:asciiTheme="majorHAnsi" w:hAnsiTheme="majorHAnsi" w:cs="Calibri"/>
                <w:sz w:val="22"/>
                <w:lang w:val="en-GB" w:eastAsia="en-GB"/>
              </w:rPr>
              <w:t>.</w:t>
            </w:r>
          </w:p>
          <w:p w14:paraId="000F894D" w14:textId="61392DAA" w:rsidR="00D10217" w:rsidRPr="00D10217" w:rsidRDefault="00D10217" w:rsidP="00D1449F">
            <w:pPr>
              <w:shd w:val="clear" w:color="auto" w:fill="FFFFFF"/>
              <w:spacing w:before="60" w:after="60"/>
              <w:ind w:hanging="42"/>
              <w:rPr>
                <w:rFonts w:asciiTheme="majorHAnsi" w:hAnsiTheme="majorHAnsi" w:cs="Calibri"/>
                <w:sz w:val="22"/>
                <w:lang w:val="en-GB" w:eastAsia="en-GB"/>
              </w:rPr>
            </w:pPr>
            <w:r w:rsidRPr="00D10217">
              <w:rPr>
                <w:rFonts w:asciiTheme="majorHAnsi" w:hAnsiTheme="majorHAnsi" w:cs="Calibri"/>
                <w:sz w:val="22"/>
                <w:lang w:val="en-GB" w:eastAsia="en-GB"/>
              </w:rPr>
              <w:t xml:space="preserve">The institutionalization of urban agriculture and gender equity through policy advocacy has also contributed to the initiative's sustainability. GUPAP’s efforts to integrate these elements into local and national frameworks create a supportive environment for the practice to thrive. For example, the inclusion of women agripreneurs in food aid supply chains reflects a systemic shift that ensures their role in local food systems is recognized and supported. These advocacy efforts have embedded the principles of urban agricultural transformation into </w:t>
            </w:r>
            <w:r w:rsidR="00746504">
              <w:rPr>
                <w:rFonts w:asciiTheme="majorHAnsi" w:hAnsiTheme="majorHAnsi" w:cs="Calibri"/>
                <w:sz w:val="22"/>
                <w:lang w:val="en-GB" w:eastAsia="en-GB"/>
              </w:rPr>
              <w:t xml:space="preserve">resilience and </w:t>
            </w:r>
            <w:r w:rsidRPr="00D10217">
              <w:rPr>
                <w:rFonts w:asciiTheme="majorHAnsi" w:hAnsiTheme="majorHAnsi" w:cs="Calibri"/>
                <w:sz w:val="22"/>
                <w:lang w:val="en-GB" w:eastAsia="en-GB"/>
              </w:rPr>
              <w:t>recovery plans, making them integral to Gaza’s recovery path.</w:t>
            </w:r>
          </w:p>
          <w:p w14:paraId="6F1307D7" w14:textId="77777777" w:rsidR="00D10217" w:rsidRPr="00D10217" w:rsidRDefault="00D10217" w:rsidP="00D1449F">
            <w:pPr>
              <w:shd w:val="clear" w:color="auto" w:fill="FFFFFF"/>
              <w:spacing w:before="60" w:after="60"/>
              <w:ind w:hanging="42"/>
              <w:rPr>
                <w:rFonts w:asciiTheme="majorHAnsi" w:hAnsiTheme="majorHAnsi" w:cs="Calibri"/>
                <w:sz w:val="22"/>
                <w:lang w:val="en-GB" w:eastAsia="en-GB"/>
              </w:rPr>
            </w:pPr>
            <w:r w:rsidRPr="00D10217">
              <w:rPr>
                <w:rFonts w:asciiTheme="majorHAnsi" w:hAnsiTheme="majorHAnsi" w:cs="Calibri"/>
                <w:sz w:val="22"/>
                <w:lang w:val="en-GB" w:eastAsia="en-GB"/>
              </w:rPr>
              <w:t>Accountability and participatory governance further bolster the sustainability of the initiative. Community-led coordination committees and regular feedback mechanisms ensure transparency in decision-making and resource allocation, fostering stakeholder trust and collaboration. This participatory approach builds community cohesion and strengthens the foundation for long-term impact.</w:t>
            </w:r>
          </w:p>
          <w:p w14:paraId="4820BE24" w14:textId="77777777" w:rsidR="00D10217" w:rsidRPr="00D10217" w:rsidRDefault="00D10217" w:rsidP="00D1449F">
            <w:pPr>
              <w:shd w:val="clear" w:color="auto" w:fill="FFFFFF"/>
              <w:spacing w:before="60" w:after="60"/>
              <w:ind w:left="34" w:hanging="42"/>
              <w:rPr>
                <w:rFonts w:asciiTheme="majorHAnsi" w:hAnsiTheme="majorHAnsi" w:cs="Calibri"/>
                <w:sz w:val="22"/>
                <w:lang w:val="en-GB" w:eastAsia="en-GB"/>
              </w:rPr>
            </w:pPr>
            <w:r w:rsidRPr="00D10217">
              <w:rPr>
                <w:rFonts w:asciiTheme="majorHAnsi" w:hAnsiTheme="majorHAnsi" w:cs="Calibri"/>
                <w:sz w:val="22"/>
                <w:lang w:val="en-GB" w:eastAsia="en-GB"/>
              </w:rPr>
              <w:t>Collaborative partnerships with local authorities, civil society organizations, and international donors have mobilized resources and technical expertise. These partnerships provide financial stability and expand the initiative's reach, ensuring its benefits are felt across diverse segments of the community. Additionally, networks such as the City Food System Actor Network (CFSAN) create a platform for continued dialogue and joint action, further reinforcing the initiative’s resilience.</w:t>
            </w:r>
          </w:p>
          <w:p w14:paraId="2B2B3615" w14:textId="77777777" w:rsidR="00D10217" w:rsidRPr="00D10217" w:rsidRDefault="00D10217" w:rsidP="00D1449F">
            <w:pPr>
              <w:shd w:val="clear" w:color="auto" w:fill="FFFFFF"/>
              <w:spacing w:before="60" w:after="60"/>
              <w:ind w:left="34" w:hanging="42"/>
              <w:rPr>
                <w:rFonts w:asciiTheme="majorHAnsi" w:hAnsiTheme="majorHAnsi" w:cs="Calibri"/>
                <w:sz w:val="22"/>
                <w:lang w:val="en-GB" w:eastAsia="en-GB"/>
              </w:rPr>
            </w:pPr>
            <w:r w:rsidRPr="00D10217">
              <w:rPr>
                <w:rFonts w:asciiTheme="majorHAnsi" w:hAnsiTheme="majorHAnsi" w:cs="Calibri"/>
                <w:sz w:val="22"/>
                <w:lang w:val="en-GB" w:eastAsia="en-GB"/>
              </w:rPr>
              <w:t>The practice’s adaptability to contextual challenges also ensures its relevance and resilience. The use of digital tools, such as WhatsApp groups for real-time engagement, and flexible strategies that respond to dynamic challenges like displacement and resource scarcity have proven critical in sustaining the initiative in Gaza’s volatile environment.</w:t>
            </w:r>
          </w:p>
          <w:p w14:paraId="4F89736E" w14:textId="33C696A7" w:rsidR="00D10217" w:rsidRPr="00D10217" w:rsidRDefault="00D10217" w:rsidP="00D1449F">
            <w:pPr>
              <w:shd w:val="clear" w:color="auto" w:fill="FFFFFF"/>
              <w:spacing w:before="60" w:after="60"/>
              <w:ind w:left="34" w:hanging="42"/>
              <w:rPr>
                <w:rFonts w:asciiTheme="majorHAnsi" w:hAnsiTheme="majorHAnsi" w:cs="Calibri"/>
                <w:sz w:val="22"/>
                <w:lang w:val="en-GB" w:eastAsia="en-GB"/>
              </w:rPr>
            </w:pPr>
            <w:r w:rsidRPr="00D10217">
              <w:rPr>
                <w:rFonts w:asciiTheme="majorHAnsi" w:hAnsiTheme="majorHAnsi" w:cs="Calibri"/>
                <w:sz w:val="22"/>
                <w:lang w:val="en-GB" w:eastAsia="en-GB"/>
              </w:rPr>
              <w:t>For the initiative to remain sustainable, several enabling conditions must be met. Continued legal and policy support is essential to institutionalize urban agriculture and gender equity within broader recovery and development plans. Capacity development must remain a priority, ensuring community members have the participatory tools and skills to lead and sustain interventions. Through international donors and innovative models like crowdfunding, long-term funding mechanisms will provide the financial stability necessary for expansion and maintenance. Community accountability through participatory monitoring and evaluation will ensure that the initiative remains responsive to the needs of its beneficiaries. Finally, documenting and sharing lessons learned will inspire replication and adaptation in other contexts, further enhancing the initiative’s legacy.</w:t>
            </w:r>
          </w:p>
          <w:p w14:paraId="28CE740A" w14:textId="43B9BCEC" w:rsidR="00D10217" w:rsidRPr="00A32CD9" w:rsidRDefault="00D10217" w:rsidP="00D1449F">
            <w:pPr>
              <w:pStyle w:val="ListParagraph"/>
              <w:numPr>
                <w:ilvl w:val="0"/>
                <w:numId w:val="0"/>
              </w:numPr>
              <w:shd w:val="clear" w:color="auto" w:fill="FFFFFF"/>
              <w:spacing w:before="60" w:after="60"/>
              <w:ind w:left="720"/>
              <w:rPr>
                <w:rFonts w:asciiTheme="majorHAnsi" w:hAnsiTheme="majorHAnsi" w:cs="Calibri"/>
                <w:i/>
                <w:iCs/>
                <w:sz w:val="22"/>
                <w:lang w:val="en-GB" w:eastAsia="en-GB"/>
              </w:rPr>
            </w:pPr>
          </w:p>
        </w:tc>
      </w:tr>
      <w:tr w:rsidR="0012494A" w:rsidRPr="00A32CD9" w14:paraId="4EB324B5" w14:textId="77777777" w:rsidTr="00450FCD">
        <w:trPr>
          <w:trHeight w:val="5140"/>
        </w:trPr>
        <w:tc>
          <w:tcPr>
            <w:tcW w:w="5000" w:type="pct"/>
            <w:gridSpan w:val="2"/>
          </w:tcPr>
          <w:p w14:paraId="39AA8817" w14:textId="2BF5FC2C" w:rsidR="00A61A89" w:rsidRPr="00A32CD9" w:rsidRDefault="00A61A89" w:rsidP="00D1449F">
            <w:pPr>
              <w:pStyle w:val="ListParagraph"/>
              <w:numPr>
                <w:ilvl w:val="0"/>
                <w:numId w:val="48"/>
              </w:numPr>
              <w:ind w:left="339"/>
              <w:contextualSpacing/>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D1449F">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D1449F">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r w:rsidRPr="00A32CD9">
              <w:rPr>
                <w:rFonts w:asciiTheme="majorHAnsi" w:hAnsiTheme="majorHAnsi" w:cstheme="minorHAnsi"/>
                <w:b/>
                <w:bCs/>
                <w:i/>
                <w:iCs/>
              </w:rPr>
              <w:t>ommunity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D1449F">
            <w:pPr>
              <w:spacing w:after="0"/>
              <w:rPr>
                <w:rFonts w:asciiTheme="majorHAnsi" w:hAnsiTheme="majorHAnsi" w:cs="Calibri"/>
                <w:sz w:val="22"/>
              </w:rPr>
            </w:pPr>
          </w:p>
          <w:p w14:paraId="1FDF965E" w14:textId="05918362" w:rsidR="00032C69" w:rsidRDefault="00032C69" w:rsidP="00D1449F">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350EEE57" w14:textId="77777777" w:rsidR="00E8185C" w:rsidRDefault="00E8185C" w:rsidP="00D1449F">
            <w:pPr>
              <w:pStyle w:val="ListParagraph"/>
              <w:numPr>
                <w:ilvl w:val="0"/>
                <w:numId w:val="0"/>
              </w:numPr>
              <w:spacing w:after="0" w:line="240" w:lineRule="auto"/>
              <w:ind w:left="720"/>
              <w:rPr>
                <w:rStyle w:val="Strong"/>
                <w:rFonts w:asciiTheme="majorHAnsi" w:hAnsiTheme="majorHAnsi"/>
                <w:b w:val="0"/>
                <w:bCs w:val="0"/>
                <w:sz w:val="22"/>
              </w:rPr>
            </w:pPr>
          </w:p>
          <w:p w14:paraId="025FB8A4" w14:textId="77777777" w:rsidR="00B54070" w:rsidRPr="00B54070" w:rsidRDefault="00B54070" w:rsidP="00D1449F">
            <w:pPr>
              <w:spacing w:after="0"/>
              <w:rPr>
                <w:rStyle w:val="Strong"/>
                <w:rFonts w:asciiTheme="majorHAnsi" w:hAnsiTheme="majorHAnsi"/>
                <w:b w:val="0"/>
                <w:bCs w:val="0"/>
                <w:sz w:val="22"/>
              </w:rPr>
            </w:pPr>
            <w:r w:rsidRPr="00B54070">
              <w:rPr>
                <w:rStyle w:val="Strong"/>
                <w:rFonts w:asciiTheme="majorHAnsi" w:hAnsiTheme="majorHAnsi"/>
                <w:b w:val="0"/>
                <w:bCs w:val="0"/>
                <w:sz w:val="22"/>
              </w:rPr>
              <w:t xml:space="preserve">Drawing from GUPAP’s extensive experience, several critical elements can be incorporated to make the definition more comprehensive and actionable. </w:t>
            </w:r>
          </w:p>
          <w:p w14:paraId="2D3B1D8F" w14:textId="6A0F6C48" w:rsidR="00B54070" w:rsidRPr="00B54070" w:rsidRDefault="00B54070" w:rsidP="00D1449F">
            <w:pPr>
              <w:spacing w:after="0"/>
              <w:rPr>
                <w:rStyle w:val="Strong"/>
                <w:rFonts w:asciiTheme="majorHAnsi" w:hAnsiTheme="majorHAnsi"/>
                <w:b w:val="0"/>
                <w:bCs w:val="0"/>
                <w:sz w:val="22"/>
              </w:rPr>
            </w:pPr>
            <w:r w:rsidRPr="00B54070">
              <w:rPr>
                <w:rStyle w:val="Strong"/>
                <w:rFonts w:asciiTheme="majorHAnsi" w:hAnsiTheme="majorHAnsi"/>
                <w:b w:val="0"/>
                <w:bCs w:val="0"/>
                <w:sz w:val="22"/>
              </w:rPr>
              <w:t>Community engagement for empowerment and community-led collective action is not just an inclusive and participatory process; it must also be responsive to the unique context of the communities involved. It should enable individuals and groups to become active agents of change, taking control of decisions that directly affect their lives, livelihoods, health, and environment. Resilience-building must be central to this process, equipping communities with the participatory tools and capacity to adapt to and overcome external shocks, such as those caused by conflict, displacement, or climate change. For example, in Gaza, GUPAP’s rooftop gardening and Baladi seed conservation initiatives have strengthened community resilience by reducing dependency on external inputs and creating locally</w:t>
            </w:r>
            <w:r w:rsidR="0078347B">
              <w:rPr>
                <w:rStyle w:val="Strong"/>
                <w:rFonts w:asciiTheme="majorHAnsi" w:hAnsiTheme="majorHAnsi"/>
                <w:b w:val="0"/>
                <w:bCs w:val="0"/>
                <w:sz w:val="22"/>
              </w:rPr>
              <w:t xml:space="preserve"> resilience</w:t>
            </w:r>
            <w:r w:rsidRPr="00B54070">
              <w:rPr>
                <w:rStyle w:val="Strong"/>
                <w:rFonts w:asciiTheme="majorHAnsi" w:hAnsiTheme="majorHAnsi"/>
                <w:b w:val="0"/>
                <w:bCs w:val="0"/>
                <w:sz w:val="22"/>
              </w:rPr>
              <w:t xml:space="preserve"> solutions.</w:t>
            </w:r>
          </w:p>
          <w:p w14:paraId="4FE9B059" w14:textId="77777777" w:rsidR="00B54070" w:rsidRPr="00B54070" w:rsidRDefault="00B54070" w:rsidP="00D1449F">
            <w:pPr>
              <w:spacing w:after="0"/>
              <w:rPr>
                <w:rStyle w:val="Strong"/>
                <w:rFonts w:asciiTheme="majorHAnsi" w:hAnsiTheme="majorHAnsi"/>
                <w:b w:val="0"/>
                <w:bCs w:val="0"/>
                <w:sz w:val="22"/>
              </w:rPr>
            </w:pPr>
            <w:r w:rsidRPr="00B54070">
              <w:rPr>
                <w:rStyle w:val="Strong"/>
                <w:rFonts w:asciiTheme="majorHAnsi" w:hAnsiTheme="majorHAnsi"/>
                <w:b w:val="0"/>
                <w:bCs w:val="0"/>
                <w:sz w:val="22"/>
              </w:rPr>
              <w:t>Local ownership is another critical aspect of sustainable community engagement. Empowering communities to lead interventions ensures that the initiatives are relevant to their specific needs and can be sustained over time. GUPAP’s Urban Women Agripreneurs Forum (UWAF) exemplifies how local leadership fosters ownership. Women agripreneurs in Gaza have taken the lead in solidarity marketing campaigns, food aid integration, and policy advocacy, demonstrating the transformative power of community-led governance structures.</w:t>
            </w:r>
          </w:p>
          <w:p w14:paraId="531F160E" w14:textId="77777777" w:rsidR="00B54070" w:rsidRPr="00B54070" w:rsidRDefault="00B54070" w:rsidP="00D1449F">
            <w:pPr>
              <w:spacing w:after="0"/>
              <w:rPr>
                <w:rStyle w:val="Strong"/>
                <w:rFonts w:asciiTheme="majorHAnsi" w:hAnsiTheme="majorHAnsi"/>
                <w:b w:val="0"/>
                <w:bCs w:val="0"/>
                <w:sz w:val="22"/>
              </w:rPr>
            </w:pPr>
            <w:r w:rsidRPr="00B54070">
              <w:rPr>
                <w:rStyle w:val="Strong"/>
                <w:rFonts w:asciiTheme="majorHAnsi" w:hAnsiTheme="majorHAnsi"/>
                <w:b w:val="0"/>
                <w:bCs w:val="0"/>
                <w:sz w:val="22"/>
              </w:rPr>
              <w:t>The concept of intersectionality must also be integrated into the definition. Community engagement efforts need to recognize and address the overlapping forms of marginalization that can exclude individuals from participating fully. Gender identity, socioeconomic status, and displacement are just a few factors that intersect to create unique barriers. GUPAP’s tailored interventions for displaced women agripreneurs highlight how addressing these intersections ensures that no one is left behind.</w:t>
            </w:r>
          </w:p>
          <w:p w14:paraId="6A9DFB1D" w14:textId="77777777" w:rsidR="00B54070" w:rsidRPr="00B54070" w:rsidRDefault="00B54070" w:rsidP="00D1449F">
            <w:pPr>
              <w:spacing w:after="0"/>
              <w:rPr>
                <w:rStyle w:val="Strong"/>
                <w:rFonts w:asciiTheme="majorHAnsi" w:hAnsiTheme="majorHAnsi"/>
                <w:b w:val="0"/>
                <w:bCs w:val="0"/>
                <w:sz w:val="22"/>
              </w:rPr>
            </w:pPr>
            <w:r w:rsidRPr="00B54070">
              <w:rPr>
                <w:rStyle w:val="Strong"/>
                <w:rFonts w:asciiTheme="majorHAnsi" w:hAnsiTheme="majorHAnsi"/>
                <w:b w:val="0"/>
                <w:bCs w:val="0"/>
                <w:sz w:val="22"/>
              </w:rPr>
              <w:t>Additionally, the definition should expand its scope to include both rural and urban contexts. In Gaza, where urban agriculture is a lifeline for many, recognizing the potential of urban food systems as part of community engagement is essential. This ensures the definition is applicable to diverse settings, particularly as urbanization continues to reshape global demographics.</w:t>
            </w:r>
          </w:p>
          <w:p w14:paraId="0BE5793F" w14:textId="49B7742E" w:rsidR="00E8185C" w:rsidRDefault="00B54070" w:rsidP="00D1449F">
            <w:pPr>
              <w:spacing w:after="0"/>
              <w:rPr>
                <w:rStyle w:val="Strong"/>
                <w:rFonts w:asciiTheme="majorHAnsi" w:hAnsiTheme="majorHAnsi"/>
                <w:b w:val="0"/>
                <w:bCs w:val="0"/>
                <w:sz w:val="22"/>
              </w:rPr>
            </w:pPr>
            <w:r w:rsidRPr="00B54070">
              <w:rPr>
                <w:rStyle w:val="Strong"/>
                <w:rFonts w:asciiTheme="majorHAnsi" w:hAnsiTheme="majorHAnsi"/>
                <w:b w:val="0"/>
                <w:bCs w:val="0"/>
                <w:sz w:val="22"/>
              </w:rPr>
              <w:t xml:space="preserve">Finally, sustainability and policy advocacy should be central to the definition. Community engagement must go beyond temporary projects to achieve long-term impact by embedding community-driven priorities into local, national, and international policy frameworks. GUPAP’s attempts to integrate urban agriculture into Gaza’s recovery plans demonstrate how participatory advocacy can </w:t>
            </w:r>
            <w:r w:rsidRPr="00B54070">
              <w:rPr>
                <w:rStyle w:val="Strong"/>
                <w:rFonts w:asciiTheme="majorHAnsi" w:hAnsiTheme="majorHAnsi"/>
                <w:b w:val="0"/>
                <w:bCs w:val="0"/>
                <w:sz w:val="22"/>
              </w:rPr>
              <w:lastRenderedPageBreak/>
              <w:t>institutionalize systemic change, ensuring that community needs remain prioritized in decision-making processes.</w:t>
            </w:r>
          </w:p>
          <w:p w14:paraId="1CE31541" w14:textId="01D6C7D5" w:rsidR="006F2D52" w:rsidRPr="00A32CD9" w:rsidRDefault="006F2D52" w:rsidP="00D1449F">
            <w:pPr>
              <w:spacing w:after="0"/>
              <w:ind w:left="34" w:hanging="34"/>
              <w:rPr>
                <w:rFonts w:asciiTheme="majorHAnsi" w:hAnsiTheme="majorHAnsi" w:cs="Calibri"/>
                <w:sz w:val="22"/>
                <w:lang w:val="en-GB"/>
              </w:rPr>
            </w:pPr>
          </w:p>
        </w:tc>
      </w:tr>
      <w:tr w:rsidR="001606C9" w:rsidRPr="00A32CD9" w14:paraId="03E259FC" w14:textId="77777777" w:rsidTr="00450FCD">
        <w:trPr>
          <w:trHeight w:val="865"/>
        </w:trPr>
        <w:tc>
          <w:tcPr>
            <w:tcW w:w="5000" w:type="pct"/>
            <w:gridSpan w:val="2"/>
          </w:tcPr>
          <w:p w14:paraId="11464D94" w14:textId="77777777" w:rsidR="001606C9" w:rsidRPr="00525440" w:rsidRDefault="001606C9" w:rsidP="00D1449F">
            <w:pPr>
              <w:pStyle w:val="ListParagraph"/>
              <w:numPr>
                <w:ilvl w:val="0"/>
                <w:numId w:val="48"/>
              </w:numPr>
              <w:ind w:left="339"/>
              <w:contextualSpacing/>
              <w:rPr>
                <w:rFonts w:asciiTheme="majorHAnsi" w:hAnsiTheme="majorHAnsi" w:cs="Calibri"/>
                <w:sz w:val="22"/>
                <w:lang w:val="en-GB"/>
              </w:rPr>
            </w:pPr>
            <w:r w:rsidRPr="00A32CD9">
              <w:rPr>
                <w:rFonts w:asciiTheme="majorHAnsi" w:hAnsiTheme="majorHAnsi" w:cs="Calibri"/>
                <w:color w:val="000000" w:themeColor="text1"/>
                <w:sz w:val="22"/>
                <w:lang w:val="en-GB" w:eastAsia="en-GB"/>
              </w:rPr>
              <w:lastRenderedPageBreak/>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4D29D71C" w14:textId="77777777" w:rsidR="00525440" w:rsidRDefault="00525440" w:rsidP="00D1449F">
            <w:pPr>
              <w:contextualSpacing/>
              <w:rPr>
                <w:rFonts w:asciiTheme="majorHAnsi" w:hAnsiTheme="majorHAnsi" w:cs="Calibri"/>
                <w:sz w:val="22"/>
                <w:lang w:val="en-GB"/>
              </w:rPr>
            </w:pPr>
          </w:p>
          <w:p w14:paraId="734FEF6D"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 xml:space="preserve">One key gap lies in the lack of </w:t>
            </w:r>
            <w:r w:rsidRPr="004C47D5">
              <w:rPr>
                <w:rFonts w:asciiTheme="majorHAnsi" w:hAnsiTheme="majorHAnsi" w:cs="Calibri"/>
                <w:sz w:val="22"/>
              </w:rPr>
              <w:t>power-sharing and community leadership</w:t>
            </w:r>
            <w:r w:rsidRPr="00F173E6">
              <w:rPr>
                <w:rFonts w:asciiTheme="majorHAnsi" w:hAnsiTheme="majorHAnsi" w:cs="Calibri"/>
                <w:sz w:val="22"/>
              </w:rPr>
              <w:t xml:space="preserve"> in many engagement practices. While participation is often emphasized, true empowerment requires a shift in decision-making authority to the community level. Frameworks that prioritize community-led governance, such as the Urban Women Agripreneurs Forum (UWAF), demonstrate how marginalized groups can assume leadership roles, actively shaping resource allocation, planning, and implementation. Bridging the gap between participation and power-sharing is critical to long-term sustainability.</w:t>
            </w:r>
          </w:p>
          <w:p w14:paraId="5CA11A90"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 xml:space="preserve">Another significant issue is the insufficient recognition of </w:t>
            </w:r>
            <w:r w:rsidRPr="004C47D5">
              <w:rPr>
                <w:rFonts w:asciiTheme="majorHAnsi" w:hAnsiTheme="majorHAnsi" w:cs="Calibri"/>
                <w:sz w:val="22"/>
              </w:rPr>
              <w:t>intersectional barriers</w:t>
            </w:r>
            <w:r w:rsidRPr="00F173E6">
              <w:rPr>
                <w:rFonts w:asciiTheme="majorHAnsi" w:hAnsiTheme="majorHAnsi" w:cs="Calibri"/>
                <w:sz w:val="22"/>
              </w:rPr>
              <w:t xml:space="preserve"> that hinder equitable participation. Many initiatives fail to address the overlapping forms of marginalization experienced by individuals based on gender, socioeconomic status, and displacement. Tailored approaches are necessary to ensure that all voices are heard. For example, GUPAP's targeted support for displaced women agripreneurs, including solidarity kitchens and financial assistance, has successfully addressed these intersectional vulnerabilities, providing a replicable model for inclusive engagement.</w:t>
            </w:r>
          </w:p>
          <w:p w14:paraId="2B84EACB"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Sustainability is another area of concern. Many community engagement practices are tied to short-term projects and lack mechanisms for enduring impact. Embedding community-led systems, such as GUPAP's revival of the community-led Al-Qarara Baladi Seed, can ensure long-term viability by leveraging local knowledge and resources. This example illustrates how locally driven initiatives can continue to thrive even after external funding ends.</w:t>
            </w:r>
          </w:p>
          <w:p w14:paraId="2530377A"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 xml:space="preserve">The limited focus on </w:t>
            </w:r>
            <w:r w:rsidRPr="006E44EB">
              <w:rPr>
                <w:rFonts w:asciiTheme="majorHAnsi" w:hAnsiTheme="majorHAnsi" w:cs="Calibri"/>
                <w:sz w:val="22"/>
              </w:rPr>
              <w:t>urban and peri-urban engagement</w:t>
            </w:r>
            <w:r w:rsidRPr="00F173E6">
              <w:rPr>
                <w:rFonts w:asciiTheme="majorHAnsi" w:hAnsiTheme="majorHAnsi" w:cs="Calibri"/>
                <w:sz w:val="22"/>
              </w:rPr>
              <w:t xml:space="preserve"> also needs to be addressed. Traditional models often prioritize rural areas, overlooking urban populations' unique challenges, particularly in conflict zones. Urban agriculture, climate adaptation, and inclusive urban planning must be integrated into engagement frameworks. GUPAP's urban agroecology initiatives, including rooftop gardening and advocacy for urban food systems, demonstrate the potential for transformative change in urban contexts.</w:t>
            </w:r>
          </w:p>
          <w:p w14:paraId="45CD12F8"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 xml:space="preserve">Another critical gap is the inadequate integration of </w:t>
            </w:r>
            <w:r w:rsidRPr="00101352">
              <w:rPr>
                <w:rFonts w:asciiTheme="majorHAnsi" w:hAnsiTheme="majorHAnsi" w:cs="Calibri"/>
                <w:sz w:val="22"/>
              </w:rPr>
              <w:t xml:space="preserve">advocacy into community engagement efforts. </w:t>
            </w:r>
            <w:r w:rsidRPr="00F173E6">
              <w:rPr>
                <w:rFonts w:asciiTheme="majorHAnsi" w:hAnsiTheme="majorHAnsi" w:cs="Calibri"/>
                <w:sz w:val="22"/>
              </w:rPr>
              <w:t>While many initiatives focus on local-level activities, they often fail to connect community priorities to broader policy discussions. Strengthening advocacy capacity is essential to institutionalizing community-driven needs. GUPAP's attempts to advocate for urban agriculture's inclusion in Gaza's recovery plans highlight how participatory advocacy can drive systemic change.</w:t>
            </w:r>
          </w:p>
          <w:p w14:paraId="675D9127"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lastRenderedPageBreak/>
              <w:t xml:space="preserve">The psychological toll of protracted crises on marginalized groups is another often overlooked area. Many interventions neglect to address the </w:t>
            </w:r>
            <w:r w:rsidRPr="00A94973">
              <w:rPr>
                <w:rFonts w:asciiTheme="majorHAnsi" w:hAnsiTheme="majorHAnsi" w:cs="Calibri"/>
                <w:sz w:val="22"/>
              </w:rPr>
              <w:t>psychological resilience</w:t>
            </w:r>
            <w:r w:rsidRPr="00F173E6">
              <w:rPr>
                <w:rFonts w:asciiTheme="majorHAnsi" w:hAnsiTheme="majorHAnsi" w:cs="Calibri"/>
                <w:sz w:val="22"/>
              </w:rPr>
              <w:t xml:space="preserve"> of participants, leading to reduced motivation and engagement. Incorporating psychosocial support and activities that foster community cohesion can help overcome these challenges. For example, GUPAP's solidarity kitchens and marketing campaigns have provided economic resilience opportunities and rebuilt trust and emotional well-being within fragmented communities.</w:t>
            </w:r>
          </w:p>
          <w:p w14:paraId="0B9675F0"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 xml:space="preserve">Additionally, the growing reliance on </w:t>
            </w:r>
            <w:r w:rsidRPr="009F0F6E">
              <w:rPr>
                <w:rFonts w:asciiTheme="majorHAnsi" w:hAnsiTheme="majorHAnsi" w:cs="Calibri"/>
                <w:sz w:val="22"/>
              </w:rPr>
              <w:t>digital tools</w:t>
            </w:r>
            <w:r w:rsidRPr="00F173E6">
              <w:rPr>
                <w:rFonts w:asciiTheme="majorHAnsi" w:hAnsiTheme="majorHAnsi" w:cs="Calibri"/>
                <w:sz w:val="22"/>
              </w:rPr>
              <w:t xml:space="preserve"> in community engagement poses challenges for inclusivity. Many individuals lack access to technology or digital literacy, limiting their ability to participate. Developing accessible digital strategies, such as online tools and low-cost communication platforms, is essential. GUPAP's use of WhatsApp groups for real-time advisory services demonstrates the potential for inclusive digital engagement.</w:t>
            </w:r>
          </w:p>
          <w:p w14:paraId="263739D4"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 xml:space="preserve">Another gap is the </w:t>
            </w:r>
            <w:r w:rsidRPr="009F0F6E">
              <w:rPr>
                <w:rFonts w:asciiTheme="majorHAnsi" w:hAnsiTheme="majorHAnsi" w:cs="Calibri"/>
                <w:sz w:val="22"/>
              </w:rPr>
              <w:t>underutilization of local knowledge and storytelling</w:t>
            </w:r>
            <w:r w:rsidRPr="00F173E6">
              <w:rPr>
                <w:rFonts w:asciiTheme="majorHAnsi" w:hAnsiTheme="majorHAnsi" w:cs="Calibri"/>
                <w:sz w:val="22"/>
              </w:rPr>
              <w:t>. Many interventions rely on top-down approaches, undervaluing communities' wealth of knowledge. Incorporating local stories and traditional practices can enhance participatory learning and advocacy. GUPAP's documentation of resilience stories from women agripreneurs has inspired greater community involvement and external support, showcasing the power of storytelling as a tool for engagement.</w:t>
            </w:r>
          </w:p>
          <w:p w14:paraId="2FB231FD"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Resource constraints remain a significant barrier, particularly in conflict-affected settings. Many community-led initiatives struggle to scale due to a lack of flexible, long-term funding mechanisms. Mobilizing financial support from donors, as GUPAP has done through partnerships with organizations like the Zayed Sustainability Prize and CCFD, is critical to enabling impactful and scalable interventions.</w:t>
            </w:r>
          </w:p>
          <w:p w14:paraId="623484AF" w14:textId="77777777" w:rsidR="00F173E6" w:rsidRPr="00F173E6" w:rsidRDefault="00F173E6" w:rsidP="00D1449F">
            <w:pPr>
              <w:contextualSpacing/>
              <w:rPr>
                <w:rFonts w:asciiTheme="majorHAnsi" w:hAnsiTheme="majorHAnsi" w:cs="Calibri"/>
                <w:sz w:val="22"/>
              </w:rPr>
            </w:pPr>
            <w:r w:rsidRPr="00F173E6">
              <w:rPr>
                <w:rFonts w:asciiTheme="majorHAnsi" w:hAnsiTheme="majorHAnsi" w:cs="Calibri"/>
                <w:sz w:val="22"/>
              </w:rPr>
              <w:t xml:space="preserve">Finally, the absence of </w:t>
            </w:r>
            <w:r w:rsidRPr="009F0F6E">
              <w:rPr>
                <w:rFonts w:asciiTheme="majorHAnsi" w:hAnsiTheme="majorHAnsi" w:cs="Calibri"/>
                <w:sz w:val="22"/>
              </w:rPr>
              <w:t>participatory monitoring and evaluation frameworks</w:t>
            </w:r>
            <w:r w:rsidRPr="00F173E6">
              <w:rPr>
                <w:rFonts w:asciiTheme="majorHAnsi" w:hAnsiTheme="majorHAnsi" w:cs="Calibri"/>
                <w:sz w:val="22"/>
              </w:rPr>
              <w:t xml:space="preserve"> undermines the ability to capture lessons learned and refine approaches. Designing tools that actively involve communities in assessing outcomes and providing feedback is essential for accountability and continuous improvement. GUPAP's use of participatory assessments, focus groups, and hotlines demonstrates how such systems can enhance the effectiveness of community engagement.</w:t>
            </w:r>
          </w:p>
          <w:p w14:paraId="35BBE238" w14:textId="7A6D691F" w:rsidR="00525440" w:rsidRPr="00F173E6" w:rsidRDefault="00525440" w:rsidP="00D1449F">
            <w:pPr>
              <w:contextualSpacing/>
              <w:rPr>
                <w:rFonts w:asciiTheme="majorHAnsi" w:hAnsiTheme="majorHAnsi" w:cs="Calibri"/>
                <w:sz w:val="22"/>
              </w:rPr>
            </w:pPr>
          </w:p>
        </w:tc>
      </w:tr>
      <w:tr w:rsidR="00BC30B7" w:rsidRPr="00A32CD9" w14:paraId="03E06A2E" w14:textId="77777777" w:rsidTr="00450FCD">
        <w:trPr>
          <w:trHeight w:val="369"/>
        </w:trPr>
        <w:tc>
          <w:tcPr>
            <w:tcW w:w="5000" w:type="pct"/>
            <w:gridSpan w:val="2"/>
          </w:tcPr>
          <w:p w14:paraId="7BAB226B" w14:textId="7B8DFDC3" w:rsidR="00BC30B7" w:rsidRPr="00D95D2A" w:rsidRDefault="00BC30B7" w:rsidP="00D1449F">
            <w:pPr>
              <w:pStyle w:val="ListParagraph"/>
              <w:numPr>
                <w:ilvl w:val="0"/>
                <w:numId w:val="48"/>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lastRenderedPageBreak/>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74D14CE6" w14:textId="77777777" w:rsidR="00D95D2A" w:rsidRDefault="00D95D2A" w:rsidP="00D1449F">
            <w:pPr>
              <w:spacing w:after="0"/>
              <w:contextualSpacing/>
              <w:rPr>
                <w:rFonts w:asciiTheme="majorHAnsi" w:hAnsiTheme="majorHAnsi" w:cs="Calibri"/>
                <w:sz w:val="22"/>
              </w:rPr>
            </w:pPr>
          </w:p>
          <w:p w14:paraId="352A6250" w14:textId="77777777" w:rsidR="00A164A8" w:rsidRPr="00A164A8" w:rsidRDefault="00A164A8" w:rsidP="00D1449F">
            <w:pPr>
              <w:spacing w:after="0"/>
              <w:contextualSpacing/>
              <w:rPr>
                <w:rFonts w:asciiTheme="majorHAnsi" w:hAnsiTheme="majorHAnsi" w:cs="Calibri"/>
                <w:sz w:val="22"/>
              </w:rPr>
            </w:pPr>
            <w:r w:rsidRPr="00656FD0">
              <w:rPr>
                <w:rFonts w:asciiTheme="majorHAnsi" w:hAnsiTheme="majorHAnsi" w:cs="Calibri"/>
                <w:sz w:val="22"/>
              </w:rPr>
              <w:t>Policy advocacy</w:t>
            </w:r>
            <w:r w:rsidRPr="00A164A8">
              <w:rPr>
                <w:rFonts w:asciiTheme="majorHAnsi" w:hAnsiTheme="majorHAnsi" w:cs="Calibri"/>
                <w:sz w:val="22"/>
              </w:rPr>
              <w:t xml:space="preserve"> is one of FAO’s most powerful tools. By championing the integration of community-led agricultural practices into national and international policies, FAO can amplify the voices of marginalized groups and ensure they are represented in decision-making processes. In Gaza, FAO’s advocacy could elevate GUPAP’s efforts to institutionalize urban agriculture within recovery and reconstruction plans. Facilitating dialogue with policymakers would help secure recognition for women agripreneurs as vital contributors to local food systems and economic resilience, embedding their roles into formal policies.</w:t>
            </w:r>
          </w:p>
          <w:p w14:paraId="360A5554" w14:textId="77777777" w:rsidR="00A164A8" w:rsidRPr="00A164A8" w:rsidRDefault="00A164A8" w:rsidP="00D1449F">
            <w:pPr>
              <w:spacing w:after="0"/>
              <w:contextualSpacing/>
              <w:rPr>
                <w:rFonts w:asciiTheme="majorHAnsi" w:hAnsiTheme="majorHAnsi" w:cs="Calibri"/>
                <w:sz w:val="22"/>
              </w:rPr>
            </w:pPr>
            <w:r w:rsidRPr="00A164A8">
              <w:rPr>
                <w:rFonts w:asciiTheme="majorHAnsi" w:hAnsiTheme="majorHAnsi" w:cs="Calibri"/>
                <w:sz w:val="22"/>
              </w:rPr>
              <w:t xml:space="preserve">Another essential area in which the FAO can contribute is </w:t>
            </w:r>
            <w:r w:rsidRPr="009E0374">
              <w:rPr>
                <w:rFonts w:asciiTheme="majorHAnsi" w:hAnsiTheme="majorHAnsi" w:cs="Calibri"/>
                <w:sz w:val="22"/>
              </w:rPr>
              <w:t>capacity development</w:t>
            </w:r>
            <w:r w:rsidRPr="00A164A8">
              <w:rPr>
                <w:rFonts w:asciiTheme="majorHAnsi" w:hAnsiTheme="majorHAnsi" w:cs="Calibri"/>
                <w:sz w:val="22"/>
              </w:rPr>
              <w:t>. Through its training programs, FAO can empower local actors with the knowledge and skills needed to lead effective interventions. In the context of Gaza, FAO could support GUPAP by providing training tailored to the region’s challenges, focusing on agroecological practices, sustainable urban agriculture, and climate-resilient farming techniques. Additionally, workshops and mentorship programs for women agripreneurs could strengthen their leadership and advocacy skills, enabling them to take on more prominent roles in shaping the region’s recovery.</w:t>
            </w:r>
          </w:p>
          <w:p w14:paraId="45784F2F" w14:textId="77777777" w:rsidR="00A164A8" w:rsidRPr="00A164A8" w:rsidRDefault="00A164A8" w:rsidP="00D1449F">
            <w:pPr>
              <w:spacing w:after="0"/>
              <w:contextualSpacing/>
              <w:rPr>
                <w:rFonts w:asciiTheme="majorHAnsi" w:hAnsiTheme="majorHAnsi" w:cs="Calibri"/>
                <w:sz w:val="22"/>
              </w:rPr>
            </w:pPr>
            <w:r w:rsidRPr="00A164A8">
              <w:rPr>
                <w:rFonts w:asciiTheme="majorHAnsi" w:hAnsiTheme="majorHAnsi" w:cs="Calibri"/>
                <w:sz w:val="22"/>
              </w:rPr>
              <w:t xml:space="preserve">FAO’s ability to mobilize resources and provide financial support is critical for the success of community-driven initiatives. In Gaza’s resource-scarce environment, </w:t>
            </w:r>
            <w:r w:rsidRPr="004A7195">
              <w:rPr>
                <w:rFonts w:asciiTheme="majorHAnsi" w:hAnsiTheme="majorHAnsi" w:cs="Calibri"/>
                <w:sz w:val="22"/>
              </w:rPr>
              <w:t>funding and resource mobilization</w:t>
            </w:r>
            <w:r w:rsidRPr="00A164A8">
              <w:rPr>
                <w:rFonts w:asciiTheme="majorHAnsi" w:hAnsiTheme="majorHAnsi" w:cs="Calibri"/>
                <w:sz w:val="22"/>
              </w:rPr>
              <w:t xml:space="preserve"> are essential to expanding impactful projects like GUPAP’s rooftop gardening and Baladi seed initiatives. FAO could establish grant mechanisms prioritizing community-led urban agriculture, ensuring that organizations like GUPAP have the resources needed to scale their efforts and sustain their impact over time.</w:t>
            </w:r>
          </w:p>
          <w:p w14:paraId="3382857B" w14:textId="77777777" w:rsidR="00A164A8" w:rsidRPr="00A164A8" w:rsidRDefault="00A164A8" w:rsidP="00D1449F">
            <w:pPr>
              <w:spacing w:after="0"/>
              <w:contextualSpacing/>
              <w:rPr>
                <w:rFonts w:asciiTheme="majorHAnsi" w:hAnsiTheme="majorHAnsi" w:cs="Calibri"/>
                <w:sz w:val="22"/>
              </w:rPr>
            </w:pPr>
            <w:r w:rsidRPr="00D84C65">
              <w:rPr>
                <w:rFonts w:asciiTheme="majorHAnsi" w:hAnsiTheme="majorHAnsi" w:cs="Calibri"/>
                <w:sz w:val="22"/>
              </w:rPr>
              <w:lastRenderedPageBreak/>
              <w:t>Technical assistance</w:t>
            </w:r>
            <w:r w:rsidRPr="00A164A8">
              <w:rPr>
                <w:rFonts w:asciiTheme="majorHAnsi" w:hAnsiTheme="majorHAnsi" w:cs="Calibri"/>
                <w:sz w:val="22"/>
              </w:rPr>
              <w:t xml:space="preserve"> from FAO is another invaluable resource for initiatives like GUPAP. With its expertise in designing, implementing, and evaluating community engagement practices, FAO could guide the development of participatory monitoring and evaluation frameworks to measure the impact of GUPAP’s work. This support would enable GUPAP to refine its strategies and document successes. FAO could also provide technical advice on building sustainable market linkages and supply chains, helping women agripreneurs achieve economic resilience.</w:t>
            </w:r>
          </w:p>
          <w:p w14:paraId="31479D7F" w14:textId="77777777" w:rsidR="00A164A8" w:rsidRPr="00A164A8" w:rsidRDefault="00A164A8" w:rsidP="00D1449F">
            <w:pPr>
              <w:spacing w:after="0"/>
              <w:contextualSpacing/>
              <w:rPr>
                <w:rFonts w:asciiTheme="majorHAnsi" w:hAnsiTheme="majorHAnsi" w:cs="Calibri"/>
                <w:sz w:val="22"/>
              </w:rPr>
            </w:pPr>
            <w:r w:rsidRPr="00A164A8">
              <w:rPr>
                <w:rFonts w:asciiTheme="majorHAnsi" w:hAnsiTheme="majorHAnsi" w:cs="Calibri"/>
                <w:sz w:val="22"/>
              </w:rPr>
              <w:t xml:space="preserve">FAO’s role in </w:t>
            </w:r>
            <w:r w:rsidRPr="00B4212E">
              <w:rPr>
                <w:rFonts w:asciiTheme="majorHAnsi" w:hAnsiTheme="majorHAnsi" w:cs="Calibri"/>
                <w:sz w:val="22"/>
              </w:rPr>
              <w:t>knowledge production and sharing</w:t>
            </w:r>
            <w:r w:rsidRPr="00A164A8">
              <w:rPr>
                <w:rFonts w:asciiTheme="majorHAnsi" w:hAnsiTheme="majorHAnsi" w:cs="Calibri"/>
                <w:sz w:val="22"/>
              </w:rPr>
              <w:t xml:space="preserve"> is pivotal for disseminating best practices and lessons learned in community engagement. By documenting GUPAP’s achievements, such as the Al-Qarara Baladi Seed revival and solidarity marketing campaigns, FAO could showcase these successes as models for other regions. Creating platforms for peer-to-peer learning would further enhance knowledge exchange, enabling GUPAP to share insights and strategies with similar organizations worldwide while learning from others’ experiences.</w:t>
            </w:r>
          </w:p>
          <w:p w14:paraId="2371D480" w14:textId="77777777" w:rsidR="00A164A8" w:rsidRPr="00A164A8" w:rsidRDefault="00A164A8" w:rsidP="00D1449F">
            <w:pPr>
              <w:spacing w:after="0"/>
              <w:contextualSpacing/>
              <w:rPr>
                <w:rFonts w:asciiTheme="majorHAnsi" w:hAnsiTheme="majorHAnsi" w:cs="Calibri"/>
                <w:sz w:val="22"/>
              </w:rPr>
            </w:pPr>
            <w:r w:rsidRPr="00A164A8">
              <w:rPr>
                <w:rFonts w:asciiTheme="majorHAnsi" w:hAnsiTheme="majorHAnsi" w:cs="Calibri"/>
                <w:sz w:val="22"/>
              </w:rPr>
              <w:t xml:space="preserve">The facilitation of </w:t>
            </w:r>
            <w:r w:rsidRPr="00CF19DE">
              <w:rPr>
                <w:rFonts w:asciiTheme="majorHAnsi" w:hAnsiTheme="majorHAnsi" w:cs="Calibri"/>
                <w:sz w:val="22"/>
              </w:rPr>
              <w:t>partnerships</w:t>
            </w:r>
            <w:r w:rsidRPr="00A164A8">
              <w:rPr>
                <w:rFonts w:asciiTheme="majorHAnsi" w:hAnsiTheme="majorHAnsi" w:cs="Calibri"/>
                <w:sz w:val="22"/>
              </w:rPr>
              <w:t xml:space="preserve"> is another area where FAO can have a transformative impact. Connecting local organizations like GUPAP with governments, international donors, and the private sector would expand their reach and amplify their impact. Through these partnerships, GUPAP could access additional resources, expertise, and markets, strengthening its initiatives and fostering collaboration among diverse stakeholders.</w:t>
            </w:r>
          </w:p>
          <w:p w14:paraId="60F1F14A" w14:textId="77777777" w:rsidR="00A164A8" w:rsidRPr="00A164A8" w:rsidRDefault="00A164A8" w:rsidP="00D1449F">
            <w:pPr>
              <w:spacing w:after="0"/>
              <w:contextualSpacing/>
              <w:rPr>
                <w:rFonts w:asciiTheme="majorHAnsi" w:hAnsiTheme="majorHAnsi" w:cs="Calibri"/>
                <w:sz w:val="22"/>
              </w:rPr>
            </w:pPr>
            <w:r w:rsidRPr="00A164A8">
              <w:rPr>
                <w:rFonts w:asciiTheme="majorHAnsi" w:hAnsiTheme="majorHAnsi" w:cs="Calibri"/>
                <w:sz w:val="22"/>
              </w:rPr>
              <w:t xml:space="preserve">An important aspect of FAO’s role is </w:t>
            </w:r>
            <w:r w:rsidRPr="004668E9">
              <w:rPr>
                <w:rFonts w:asciiTheme="majorHAnsi" w:hAnsiTheme="majorHAnsi" w:cs="Calibri"/>
                <w:sz w:val="22"/>
              </w:rPr>
              <w:t>promoting intersectionality and inclusivity</w:t>
            </w:r>
            <w:r w:rsidRPr="00A164A8">
              <w:rPr>
                <w:rFonts w:asciiTheme="majorHAnsi" w:hAnsiTheme="majorHAnsi" w:cs="Calibri"/>
                <w:sz w:val="22"/>
              </w:rPr>
              <w:t xml:space="preserve"> in community engagement. FAO can provide tools and frameworks to design interventions that address the unique needs of marginalized groups, such as displaced families, women, and youth, ensuring their participation in decision-making processes. Advocacy for inclusive approaches would help dismantle systemic barriers and foster equitable access to resources and opportunities, aligning with the realities of crisis contexts like Gaza.</w:t>
            </w:r>
          </w:p>
          <w:p w14:paraId="00F2F652" w14:textId="42887345" w:rsidR="00B47668" w:rsidRPr="00A32CD9" w:rsidRDefault="00A164A8" w:rsidP="00D1449F">
            <w:pPr>
              <w:spacing w:after="0"/>
              <w:contextualSpacing/>
              <w:rPr>
                <w:rFonts w:asciiTheme="majorHAnsi" w:hAnsiTheme="majorHAnsi" w:cs="Calibri"/>
                <w:sz w:val="22"/>
              </w:rPr>
            </w:pPr>
            <w:r w:rsidRPr="00A164A8">
              <w:rPr>
                <w:rFonts w:asciiTheme="majorHAnsi" w:hAnsiTheme="majorHAnsi" w:cs="Calibri"/>
                <w:sz w:val="22"/>
              </w:rPr>
              <w:t xml:space="preserve">Finally, FAO is well-positioned </w:t>
            </w:r>
            <w:r w:rsidRPr="00A618BD">
              <w:rPr>
                <w:rFonts w:asciiTheme="majorHAnsi" w:hAnsiTheme="majorHAnsi" w:cs="Calibri"/>
                <w:sz w:val="22"/>
              </w:rPr>
              <w:t>to scale the impact of successful models globally</w:t>
            </w:r>
            <w:r w:rsidRPr="00A164A8">
              <w:rPr>
                <w:rFonts w:asciiTheme="majorHAnsi" w:hAnsiTheme="majorHAnsi" w:cs="Calibri"/>
                <w:sz w:val="22"/>
              </w:rPr>
              <w:t>. FAO can facilitate their adaptation and replication in other crisis-affected areas by identifying effective community engagement practices, such as GUPAP’s work in urban agriculture. Showcasing GUPAP’s achievements on global platforms and forums would highlight the transformative potential of community-led initiatives. Collaborating with GUPAP to pilot scalable models in other urban regions would further demonstrate the adaptability and relevance of these approaches in diverse settings.</w:t>
            </w:r>
          </w:p>
        </w:tc>
      </w:tr>
      <w:tr w:rsidR="00E2637D" w:rsidRPr="00A32CD9" w14:paraId="1864253A" w14:textId="77777777" w:rsidTr="00450FCD">
        <w:tblPrEx>
          <w:tblLook w:val="0000" w:firstRow="0" w:lastRow="0" w:firstColumn="0" w:lastColumn="0" w:noHBand="0" w:noVBand="0"/>
        </w:tblPrEx>
        <w:trPr>
          <w:trHeight w:val="1215"/>
        </w:trPr>
        <w:tc>
          <w:tcPr>
            <w:tcW w:w="1764" w:type="pct"/>
          </w:tcPr>
          <w:p w14:paraId="3B0C9926" w14:textId="77777777" w:rsidR="00E2637D" w:rsidRDefault="00E2637D" w:rsidP="00D1449F">
            <w:pPr>
              <w:spacing w:before="200" w:after="160" w:line="259" w:lineRule="auto"/>
              <w:contextualSpacing/>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p w14:paraId="7FB6CA21" w14:textId="77777777" w:rsidR="0021396B" w:rsidRDefault="0021396B" w:rsidP="00D1449F">
            <w:pPr>
              <w:spacing w:before="200" w:after="160" w:line="259" w:lineRule="auto"/>
              <w:contextualSpacing/>
              <w:rPr>
                <w:rFonts w:asciiTheme="majorHAnsi" w:eastAsia="Calibri" w:hAnsiTheme="majorHAnsi" w:cs="Calibri"/>
                <w:b/>
                <w:bCs/>
                <w:sz w:val="22"/>
              </w:rPr>
            </w:pPr>
          </w:p>
          <w:p w14:paraId="4015C17A" w14:textId="0F5EB623" w:rsidR="0021396B" w:rsidRPr="00A32CD9" w:rsidRDefault="0021396B" w:rsidP="00450FCD">
            <w:pPr>
              <w:spacing w:before="200" w:after="160" w:line="259" w:lineRule="auto"/>
              <w:contextualSpacing/>
              <w:rPr>
                <w:rFonts w:asciiTheme="majorHAnsi" w:eastAsia="Calibri" w:hAnsiTheme="majorHAnsi" w:cs="Calibri"/>
                <w:b/>
                <w:bCs/>
                <w:sz w:val="22"/>
              </w:rPr>
            </w:pPr>
          </w:p>
        </w:tc>
        <w:tc>
          <w:tcPr>
            <w:tcW w:w="3236" w:type="pct"/>
          </w:tcPr>
          <w:p w14:paraId="1DAC2E27" w14:textId="16CB6982" w:rsidR="00E2637D" w:rsidRPr="00A32CD9" w:rsidRDefault="00E2637D" w:rsidP="00D1449F">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D1449F">
            <w:pPr>
              <w:spacing w:before="200" w:after="240"/>
              <w:contextualSpacing/>
              <w:rPr>
                <w:rFonts w:asciiTheme="majorHAnsi" w:eastAsia="Calibri" w:hAnsiTheme="majorHAnsi" w:cs="Calibri"/>
                <w:i/>
                <w:iCs/>
                <w:sz w:val="22"/>
              </w:rPr>
            </w:pPr>
          </w:p>
          <w:p w14:paraId="768C6C8A" w14:textId="042CDBF4" w:rsidR="00450FCD" w:rsidRPr="00450FCD" w:rsidRDefault="00450FCD" w:rsidP="00450FCD">
            <w:pPr>
              <w:spacing w:after="0"/>
              <w:contextualSpacing/>
              <w:rPr>
                <w:rFonts w:asciiTheme="majorHAnsi" w:hAnsiTheme="majorHAnsi" w:cs="Calibri"/>
                <w:sz w:val="22"/>
                <w:rtl/>
              </w:rPr>
            </w:pPr>
            <w:r w:rsidRPr="00450FCD">
              <w:rPr>
                <w:rFonts w:asciiTheme="majorHAnsi" w:hAnsiTheme="majorHAnsi" w:cs="Calibri"/>
                <w:sz w:val="22"/>
              </w:rPr>
              <w:t xml:space="preserve">Community Led Solidarity Marketing- Success &amp; Resilience Story_Oct_2024: </w:t>
            </w:r>
            <w:hyperlink r:id="rId16" w:history="1">
              <w:r w:rsidRPr="00450FCD">
                <w:rPr>
                  <w:rStyle w:val="Hyperlink"/>
                  <w:rFonts w:asciiTheme="majorHAnsi" w:hAnsiTheme="majorHAnsi" w:cs="Calibri"/>
                  <w:sz w:val="22"/>
                </w:rPr>
                <w:t>https://drive.google.com/file/d/15P1Vf1EQPU6AoAtVfu_tl8UxS7szcaGN/view?usp=sharing</w:t>
              </w:r>
            </w:hyperlink>
          </w:p>
          <w:p w14:paraId="6D0C106C" w14:textId="77777777" w:rsidR="00450FCD" w:rsidRPr="00450FCD" w:rsidRDefault="00450FCD" w:rsidP="00450FCD">
            <w:pPr>
              <w:spacing w:after="0"/>
              <w:contextualSpacing/>
              <w:rPr>
                <w:rFonts w:asciiTheme="majorHAnsi" w:hAnsiTheme="majorHAnsi" w:cs="Calibri"/>
                <w:sz w:val="22"/>
                <w:rtl/>
              </w:rPr>
            </w:pPr>
          </w:p>
          <w:p w14:paraId="243CFC4F" w14:textId="77777777" w:rsidR="00450FCD" w:rsidRPr="00450FCD" w:rsidRDefault="00450FCD" w:rsidP="00450FCD">
            <w:pPr>
              <w:spacing w:after="0"/>
              <w:contextualSpacing/>
              <w:rPr>
                <w:rFonts w:asciiTheme="majorHAnsi" w:hAnsiTheme="majorHAnsi" w:cs="Calibri"/>
                <w:sz w:val="22"/>
              </w:rPr>
            </w:pPr>
            <w:r w:rsidRPr="00450FCD">
              <w:rPr>
                <w:rFonts w:asciiTheme="majorHAnsi" w:hAnsiTheme="majorHAnsi" w:cs="Calibri"/>
                <w:sz w:val="22"/>
              </w:rPr>
              <w:t>Film of Community-led Solidarity Marketing (CLSM) for Palm Dates During Crisis – September 2024</w:t>
            </w:r>
          </w:p>
          <w:p w14:paraId="1BEE68F3" w14:textId="4DE1908F" w:rsidR="00450FCD" w:rsidRDefault="00450FCD" w:rsidP="00450FCD">
            <w:pPr>
              <w:spacing w:after="0"/>
              <w:contextualSpacing/>
              <w:rPr>
                <w:rFonts w:asciiTheme="majorHAnsi" w:hAnsiTheme="majorHAnsi" w:cs="Calibri"/>
                <w:sz w:val="22"/>
                <w:rtl/>
              </w:rPr>
            </w:pPr>
            <w:hyperlink r:id="rId17" w:history="1">
              <w:r w:rsidRPr="00CF69E6">
                <w:rPr>
                  <w:rStyle w:val="Hyperlink"/>
                  <w:rFonts w:asciiTheme="majorHAnsi" w:hAnsiTheme="majorHAnsi" w:cs="Calibri"/>
                  <w:sz w:val="22"/>
                </w:rPr>
                <w:t>https://drive.google.com/file/d/1G7Yv8qBLqwGquuMpoEh_cReROGvNKMfr/view?usp=sharing</w:t>
              </w:r>
            </w:hyperlink>
          </w:p>
          <w:p w14:paraId="41EC395C" w14:textId="77777777" w:rsidR="00450FCD" w:rsidRPr="00450FCD" w:rsidRDefault="00450FCD" w:rsidP="00450FCD">
            <w:pPr>
              <w:spacing w:after="0"/>
              <w:contextualSpacing/>
              <w:rPr>
                <w:rFonts w:asciiTheme="majorHAnsi" w:hAnsiTheme="majorHAnsi" w:cs="Calibri"/>
                <w:sz w:val="22"/>
                <w:rtl/>
              </w:rPr>
            </w:pPr>
          </w:p>
          <w:p w14:paraId="6CB4179F" w14:textId="77777777" w:rsidR="00450FCD" w:rsidRPr="00450FCD" w:rsidRDefault="00450FCD" w:rsidP="00450FCD">
            <w:pPr>
              <w:spacing w:after="0"/>
              <w:contextualSpacing/>
              <w:rPr>
                <w:rFonts w:asciiTheme="majorHAnsi" w:hAnsiTheme="majorHAnsi" w:cs="Calibri"/>
                <w:sz w:val="22"/>
              </w:rPr>
            </w:pPr>
            <w:r w:rsidRPr="00450FCD">
              <w:rPr>
                <w:rFonts w:asciiTheme="majorHAnsi" w:hAnsiTheme="majorHAnsi" w:cs="Calibri"/>
                <w:sz w:val="22"/>
              </w:rPr>
              <w:t>Film of Community-led Solidarity Marketing (CLSM) for Olives During Crisis – October 2024</w:t>
            </w:r>
          </w:p>
          <w:p w14:paraId="0C1069B6" w14:textId="2E46ED85" w:rsidR="00450FCD" w:rsidRDefault="00450FCD" w:rsidP="00450FCD">
            <w:pPr>
              <w:spacing w:after="0"/>
              <w:contextualSpacing/>
              <w:rPr>
                <w:rStyle w:val="Hyperlink"/>
                <w:rtl/>
              </w:rPr>
            </w:pPr>
            <w:hyperlink r:id="rId18" w:history="1">
              <w:r w:rsidRPr="00450FCD">
                <w:rPr>
                  <w:rStyle w:val="Hyperlink"/>
                  <w:rFonts w:asciiTheme="majorHAnsi" w:hAnsiTheme="majorHAnsi" w:cs="Calibri"/>
                  <w:sz w:val="22"/>
                </w:rPr>
                <w:t>https://drive.google.com/file/d/1W2x3nzGRR7Lc3lWo6C4yJSqT3I7boexN/view?usp=sharing</w:t>
              </w:r>
            </w:hyperlink>
          </w:p>
          <w:p w14:paraId="388F4903" w14:textId="77777777" w:rsidR="00450FCD" w:rsidRDefault="00450FCD" w:rsidP="00450FCD">
            <w:pPr>
              <w:spacing w:after="0"/>
              <w:contextualSpacing/>
              <w:rPr>
                <w:rStyle w:val="Hyperlink"/>
                <w:rtl/>
              </w:rPr>
            </w:pPr>
          </w:p>
          <w:p w14:paraId="113F42CD" w14:textId="2F8C6C1F" w:rsidR="00450FCD" w:rsidRDefault="00450FCD" w:rsidP="00450FCD">
            <w:pPr>
              <w:spacing w:after="0"/>
              <w:contextualSpacing/>
              <w:jc w:val="left"/>
              <w:rPr>
                <w:rFonts w:asciiTheme="majorHAnsi" w:hAnsiTheme="majorHAnsi" w:cs="Calibri"/>
                <w:sz w:val="22"/>
                <w:rtl/>
              </w:rPr>
            </w:pPr>
            <w:r w:rsidRPr="00450FCD">
              <w:rPr>
                <w:rFonts w:asciiTheme="majorHAnsi" w:hAnsiTheme="majorHAnsi" w:cs="Calibri"/>
                <w:sz w:val="22"/>
              </w:rPr>
              <w:t>Film</w:t>
            </w:r>
            <w:r>
              <w:rPr>
                <w:rFonts w:asciiTheme="majorHAnsi" w:hAnsiTheme="majorHAnsi" w:cs="Calibri" w:hint="cs"/>
                <w:sz w:val="22"/>
                <w:rtl/>
              </w:rPr>
              <w:t xml:space="preserve"> </w:t>
            </w:r>
            <w:r w:rsidRPr="00450FCD">
              <w:rPr>
                <w:rFonts w:asciiTheme="majorHAnsi" w:hAnsiTheme="majorHAnsi" w:cs="Calibri"/>
                <w:sz w:val="22"/>
              </w:rPr>
              <w:t>of GUPAP</w:t>
            </w:r>
            <w:r>
              <w:rPr>
                <w:rFonts w:asciiTheme="majorHAnsi" w:hAnsiTheme="majorHAnsi" w:cs="Calibri" w:hint="cs"/>
                <w:sz w:val="22"/>
                <w:rtl/>
              </w:rPr>
              <w:t xml:space="preserve"> -</w:t>
            </w:r>
            <w:r w:rsidRPr="00450FCD">
              <w:rPr>
                <w:rFonts w:asciiTheme="majorHAnsi" w:hAnsiTheme="majorHAnsi" w:cs="Calibri"/>
                <w:sz w:val="22"/>
              </w:rPr>
              <w:t>French Consulate general in Jerusalem</w:t>
            </w:r>
            <w:r>
              <w:rPr>
                <w:rFonts w:asciiTheme="majorHAnsi" w:hAnsiTheme="majorHAnsi" w:cs="Calibri" w:hint="cs"/>
                <w:sz w:val="22"/>
                <w:rtl/>
              </w:rPr>
              <w:t xml:space="preserve"> </w:t>
            </w:r>
            <w:r w:rsidRPr="00450FCD">
              <w:rPr>
                <w:rFonts w:asciiTheme="majorHAnsi" w:hAnsiTheme="majorHAnsi" w:cs="Calibri"/>
                <w:sz w:val="22"/>
              </w:rPr>
              <w:t>Project</w:t>
            </w:r>
            <w:r>
              <w:rPr>
                <w:rFonts w:asciiTheme="majorHAnsi" w:hAnsiTheme="majorHAnsi" w:cs="Calibri" w:hint="cs"/>
                <w:sz w:val="22"/>
                <w:rtl/>
              </w:rPr>
              <w:t xml:space="preserve"> - </w:t>
            </w:r>
            <w:r w:rsidRPr="00450FCD">
              <w:rPr>
                <w:rFonts w:asciiTheme="majorHAnsi" w:hAnsiTheme="majorHAnsi" w:cs="Calibri"/>
                <w:sz w:val="22"/>
              </w:rPr>
              <w:t>September 2024</w:t>
            </w:r>
          </w:p>
          <w:p w14:paraId="6B1EC802" w14:textId="2D0614A9" w:rsidR="00450FCD" w:rsidRPr="00450FCD" w:rsidRDefault="00450FCD" w:rsidP="00450FCD">
            <w:pPr>
              <w:spacing w:after="0"/>
              <w:contextualSpacing/>
              <w:jc w:val="left"/>
              <w:rPr>
                <w:rFonts w:asciiTheme="majorHAnsi" w:eastAsia="Calibri" w:hAnsiTheme="majorHAnsi" w:cs="Calibri"/>
                <w:sz w:val="22"/>
              </w:rPr>
            </w:pPr>
            <w:hyperlink r:id="rId19" w:history="1">
              <w:r w:rsidRPr="00CF69E6">
                <w:rPr>
                  <w:rStyle w:val="Hyperlink"/>
                  <w:rFonts w:asciiTheme="majorHAnsi" w:eastAsia="Calibri" w:hAnsiTheme="majorHAnsi" w:cs="Calibri"/>
                  <w:sz w:val="22"/>
                </w:rPr>
                <w:t>https://drive.google.com/file/d/1hIRUTMiKGkBSz0BZuDvCvYVyil6R6Nn2/view?usp=sharing</w:t>
              </w:r>
            </w:hyperlink>
          </w:p>
          <w:p w14:paraId="159E9B9F" w14:textId="77777777" w:rsidR="003A6D83" w:rsidRPr="00A32CD9" w:rsidRDefault="003A6D83" w:rsidP="00D1449F">
            <w:pPr>
              <w:spacing w:before="200" w:after="240"/>
              <w:contextualSpacing/>
              <w:rPr>
                <w:rFonts w:asciiTheme="majorHAnsi" w:eastAsia="Calibri" w:hAnsiTheme="majorHAnsi" w:cs="Calibri"/>
                <w:sz w:val="22"/>
              </w:rPr>
            </w:pPr>
          </w:p>
          <w:p w14:paraId="0A026187" w14:textId="77777777" w:rsidR="00E2637D" w:rsidRPr="00A32CD9" w:rsidRDefault="00E2637D" w:rsidP="00D1449F">
            <w:pPr>
              <w:spacing w:before="200" w:after="0"/>
              <w:ind w:left="720"/>
              <w:contextualSpacing/>
              <w:rPr>
                <w:rFonts w:asciiTheme="majorHAnsi" w:eastAsia="Calibri" w:hAnsiTheme="majorHAnsi" w:cs="Calibri"/>
                <w:sz w:val="22"/>
              </w:rPr>
            </w:pPr>
          </w:p>
        </w:tc>
      </w:tr>
      <w:bookmarkEnd w:id="2"/>
    </w:tbl>
    <w:p w14:paraId="5D30B067" w14:textId="5DCDE9F8" w:rsidR="00E21809" w:rsidRPr="00A32CD9" w:rsidRDefault="00E21809" w:rsidP="00450FCD">
      <w:pPr>
        <w:tabs>
          <w:tab w:val="left" w:pos="3984"/>
        </w:tabs>
        <w:spacing w:after="0"/>
        <w:rPr>
          <w:rFonts w:asciiTheme="majorHAnsi" w:hAnsiTheme="majorHAnsi"/>
          <w:noProof/>
          <w:sz w:val="22"/>
          <w:lang w:eastAsia="zh-CN"/>
        </w:rPr>
      </w:pPr>
    </w:p>
    <w:sectPr w:rsidR="00E21809" w:rsidRPr="00A32CD9" w:rsidSect="00450FCD">
      <w:headerReference w:type="default" r:id="rId20"/>
      <w:footerReference w:type="default" r:id="rId21"/>
      <w:headerReference w:type="first" r:id="rId22"/>
      <w:footerReference w:type="first" r:id="rId23"/>
      <w:type w:val="continuous"/>
      <w:pgSz w:w="11907" w:h="16839" w:code="9"/>
      <w:pgMar w:top="1276" w:right="1134" w:bottom="568" w:left="1134"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61A59" w14:textId="77777777" w:rsidR="00AF0448" w:rsidRDefault="00AF0448" w:rsidP="00D079C6">
      <w:pPr>
        <w:spacing w:after="0"/>
      </w:pPr>
      <w:r>
        <w:separator/>
      </w:r>
    </w:p>
    <w:p w14:paraId="101D9AFB" w14:textId="77777777" w:rsidR="00AF0448" w:rsidRDefault="00AF0448"/>
  </w:endnote>
  <w:endnote w:type="continuationSeparator" w:id="0">
    <w:p w14:paraId="5E3FA7EA" w14:textId="77777777" w:rsidR="00AF0448" w:rsidRDefault="00AF0448" w:rsidP="00D079C6">
      <w:pPr>
        <w:spacing w:after="0"/>
      </w:pPr>
      <w:r>
        <w:continuationSeparator/>
      </w:r>
    </w:p>
    <w:p w14:paraId="4B19B2FE" w14:textId="77777777" w:rsidR="00AF0448" w:rsidRDefault="00AF0448"/>
  </w:endnote>
  <w:endnote w:type="continuationNotice" w:id="1">
    <w:p w14:paraId="4B7250B8" w14:textId="77777777" w:rsidR="00AF0448" w:rsidRDefault="00AF04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450FCD">
      <w:trPr>
        <w:trHeight w:val="711"/>
      </w:trPr>
      <w:tc>
        <w:tcPr>
          <w:tcW w:w="9639" w:type="dxa"/>
        </w:tcPr>
        <w:p w14:paraId="58DE1BFD" w14:textId="77777777" w:rsidR="00523E6B" w:rsidRPr="00351B73" w:rsidRDefault="00523E6B" w:rsidP="00450FCD">
          <w:pPr>
            <w:pStyle w:val="Foo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CA112" w14:textId="77777777" w:rsidR="00AF0448" w:rsidRDefault="00AF0448" w:rsidP="00D079C6">
      <w:pPr>
        <w:spacing w:after="0"/>
      </w:pPr>
      <w:r>
        <w:separator/>
      </w:r>
    </w:p>
    <w:p w14:paraId="03BC29E7" w14:textId="77777777" w:rsidR="00AF0448" w:rsidRDefault="00AF0448"/>
  </w:footnote>
  <w:footnote w:type="continuationSeparator" w:id="0">
    <w:p w14:paraId="6F25EB73" w14:textId="77777777" w:rsidR="00AF0448" w:rsidRDefault="00AF0448" w:rsidP="00D079C6">
      <w:pPr>
        <w:spacing w:after="0"/>
      </w:pPr>
      <w:r>
        <w:continuationSeparator/>
      </w:r>
    </w:p>
    <w:p w14:paraId="1CC69463" w14:textId="77777777" w:rsidR="00AF0448" w:rsidRDefault="00AF0448"/>
  </w:footnote>
  <w:footnote w:type="continuationNotice" w:id="1">
    <w:p w14:paraId="2E430471" w14:textId="77777777" w:rsidR="00AF0448" w:rsidRDefault="00AF0448">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6292340" name="Picture 256292340"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1858771489" name="Picture 185877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423144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6F530E"/>
    <w:multiLevelType w:val="multilevel"/>
    <w:tmpl w:val="FB94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1C55C8"/>
    <w:multiLevelType w:val="multilevel"/>
    <w:tmpl w:val="2D58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7236ED"/>
    <w:multiLevelType w:val="multilevel"/>
    <w:tmpl w:val="7B20D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FE2F69"/>
    <w:multiLevelType w:val="multilevel"/>
    <w:tmpl w:val="F9C8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A63E63"/>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752094"/>
    <w:multiLevelType w:val="multilevel"/>
    <w:tmpl w:val="F460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A2974BF"/>
    <w:multiLevelType w:val="multilevel"/>
    <w:tmpl w:val="0906A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8D4DBB"/>
    <w:multiLevelType w:val="multilevel"/>
    <w:tmpl w:val="670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EE63B9"/>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8" w15:restartNumberingAfterBreak="0">
    <w:nsid w:val="0DE24F5D"/>
    <w:multiLevelType w:val="multilevel"/>
    <w:tmpl w:val="CD2A5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0E213226"/>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A03824"/>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4877E4"/>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CE026B"/>
    <w:multiLevelType w:val="multilevel"/>
    <w:tmpl w:val="C3760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165463"/>
    <w:multiLevelType w:val="multilevel"/>
    <w:tmpl w:val="486E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0DA3CF6"/>
    <w:multiLevelType w:val="multilevel"/>
    <w:tmpl w:val="EAA42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1D2C19"/>
    <w:multiLevelType w:val="multilevel"/>
    <w:tmpl w:val="EE945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6B7A00"/>
    <w:multiLevelType w:val="multilevel"/>
    <w:tmpl w:val="4FCEE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6B2AAE"/>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32" w15:restartNumberingAfterBreak="0">
    <w:nsid w:val="14565B6E"/>
    <w:multiLevelType w:val="multilevel"/>
    <w:tmpl w:val="A1A81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C37C05"/>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806447E"/>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88A0907"/>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8970119"/>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1BD61119"/>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A31BC7"/>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F677A57"/>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2887569"/>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3036804"/>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267E6B71"/>
    <w:multiLevelType w:val="multilevel"/>
    <w:tmpl w:val="1820D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8585F98"/>
    <w:multiLevelType w:val="multilevel"/>
    <w:tmpl w:val="2F4A9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8BD044F"/>
    <w:multiLevelType w:val="multilevel"/>
    <w:tmpl w:val="1518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445BD3"/>
    <w:multiLevelType w:val="multilevel"/>
    <w:tmpl w:val="1060B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4E4B78"/>
    <w:multiLevelType w:val="multilevel"/>
    <w:tmpl w:val="FE2EB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BE64D6D"/>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1C67F0"/>
    <w:multiLevelType w:val="multilevel"/>
    <w:tmpl w:val="791C9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2C9B6AC9"/>
    <w:multiLevelType w:val="multilevel"/>
    <w:tmpl w:val="2F4A9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7" w15:restartNumberingAfterBreak="0">
    <w:nsid w:val="2DEE2D84"/>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E616F65"/>
    <w:multiLevelType w:val="multilevel"/>
    <w:tmpl w:val="B0DC9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FE7940"/>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F837E7E"/>
    <w:multiLevelType w:val="multilevel"/>
    <w:tmpl w:val="F75C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C41193"/>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1E55F97"/>
    <w:multiLevelType w:val="multilevel"/>
    <w:tmpl w:val="DBEC7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AB6C5C"/>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6C157F8"/>
    <w:multiLevelType w:val="multilevel"/>
    <w:tmpl w:val="2F4A9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803CC2"/>
    <w:multiLevelType w:val="multilevel"/>
    <w:tmpl w:val="61AEA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A13E6D"/>
    <w:multiLevelType w:val="multilevel"/>
    <w:tmpl w:val="1CCC3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8E27BE4"/>
    <w:multiLevelType w:val="multilevel"/>
    <w:tmpl w:val="78A6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B3648D5"/>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E62D3C"/>
    <w:multiLevelType w:val="multilevel"/>
    <w:tmpl w:val="263E5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E4945B9"/>
    <w:multiLevelType w:val="multilevel"/>
    <w:tmpl w:val="FC420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E74392C"/>
    <w:multiLevelType w:val="multilevel"/>
    <w:tmpl w:val="24342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F141A51"/>
    <w:multiLevelType w:val="multilevel"/>
    <w:tmpl w:val="2F4A9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B713A0"/>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F55FC1"/>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2487520"/>
    <w:multiLevelType w:val="multilevel"/>
    <w:tmpl w:val="2D44E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2642DD4"/>
    <w:multiLevelType w:val="multilevel"/>
    <w:tmpl w:val="2F4A9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2C545AA"/>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2F0342B"/>
    <w:multiLevelType w:val="multilevel"/>
    <w:tmpl w:val="09B81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33E76C6"/>
    <w:multiLevelType w:val="multilevel"/>
    <w:tmpl w:val="D786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34A3F84"/>
    <w:multiLevelType w:val="multilevel"/>
    <w:tmpl w:val="B4606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6"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4EA7BA7"/>
    <w:multiLevelType w:val="multilevel"/>
    <w:tmpl w:val="F9FE2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5465E4C"/>
    <w:multiLevelType w:val="multilevel"/>
    <w:tmpl w:val="89087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7635B42"/>
    <w:multiLevelType w:val="multilevel"/>
    <w:tmpl w:val="97E0F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A3E0292"/>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EC814FD"/>
    <w:multiLevelType w:val="multilevel"/>
    <w:tmpl w:val="A6523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F1B008E"/>
    <w:multiLevelType w:val="multilevel"/>
    <w:tmpl w:val="045ED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FF81B9D"/>
    <w:multiLevelType w:val="multilevel"/>
    <w:tmpl w:val="263E9E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02E423B"/>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0CF6A5A"/>
    <w:multiLevelType w:val="multilevel"/>
    <w:tmpl w:val="853AA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2374DC4"/>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DF694B"/>
    <w:multiLevelType w:val="multilevel"/>
    <w:tmpl w:val="5FB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2EA22BF"/>
    <w:multiLevelType w:val="multilevel"/>
    <w:tmpl w:val="7B7A9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3680005"/>
    <w:multiLevelType w:val="multilevel"/>
    <w:tmpl w:val="FC8EA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3A366C5"/>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4477D09"/>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49235CE"/>
    <w:multiLevelType w:val="multilevel"/>
    <w:tmpl w:val="A184E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56D7309"/>
    <w:multiLevelType w:val="multilevel"/>
    <w:tmpl w:val="BBE60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5FB4EC7"/>
    <w:multiLevelType w:val="multilevel"/>
    <w:tmpl w:val="DA4C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6681712"/>
    <w:multiLevelType w:val="multilevel"/>
    <w:tmpl w:val="749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8D763A"/>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8627718"/>
    <w:multiLevelType w:val="multilevel"/>
    <w:tmpl w:val="61CE8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87B2117"/>
    <w:multiLevelType w:val="multilevel"/>
    <w:tmpl w:val="51244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92358EC"/>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5B488C"/>
    <w:multiLevelType w:val="multilevel"/>
    <w:tmpl w:val="AC502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AF94810"/>
    <w:multiLevelType w:val="multilevel"/>
    <w:tmpl w:val="AECA1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EE0332"/>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C91661A"/>
    <w:multiLevelType w:val="multilevel"/>
    <w:tmpl w:val="734A7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CB95F27"/>
    <w:multiLevelType w:val="multilevel"/>
    <w:tmpl w:val="39560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CC778F2"/>
    <w:multiLevelType w:val="multilevel"/>
    <w:tmpl w:val="3670B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E313559"/>
    <w:multiLevelType w:val="multilevel"/>
    <w:tmpl w:val="8548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F853BA7"/>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F8B27B8"/>
    <w:multiLevelType w:val="multilevel"/>
    <w:tmpl w:val="E11C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FA3352C"/>
    <w:multiLevelType w:val="multilevel"/>
    <w:tmpl w:val="145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40"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9C5C52"/>
    <w:multiLevelType w:val="multilevel"/>
    <w:tmpl w:val="16F06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2CE4F6D"/>
    <w:multiLevelType w:val="multilevel"/>
    <w:tmpl w:val="7D20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62EF4274"/>
    <w:multiLevelType w:val="multilevel"/>
    <w:tmpl w:val="4FE0A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3241A38"/>
    <w:multiLevelType w:val="multilevel"/>
    <w:tmpl w:val="3378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3910ADC"/>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48B65ED"/>
    <w:multiLevelType w:val="multilevel"/>
    <w:tmpl w:val="02D03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0" w15:restartNumberingAfterBreak="0">
    <w:nsid w:val="64DA4638"/>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829480C"/>
    <w:multiLevelType w:val="multilevel"/>
    <w:tmpl w:val="60BA1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8DA5001"/>
    <w:multiLevelType w:val="multilevel"/>
    <w:tmpl w:val="E694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A0E6B78"/>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B062449"/>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C013A41"/>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C652681"/>
    <w:multiLevelType w:val="multilevel"/>
    <w:tmpl w:val="C360B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CA94FCF"/>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EEC26F5"/>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17D1367"/>
    <w:multiLevelType w:val="multilevel"/>
    <w:tmpl w:val="12384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1EA639D"/>
    <w:multiLevelType w:val="multilevel"/>
    <w:tmpl w:val="781C2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2BB502C"/>
    <w:multiLevelType w:val="multilevel"/>
    <w:tmpl w:val="C6401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3217ADA"/>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4AA74D7"/>
    <w:multiLevelType w:val="multilevel"/>
    <w:tmpl w:val="698A4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63B0616"/>
    <w:multiLevelType w:val="multilevel"/>
    <w:tmpl w:val="51B03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64C23F8"/>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82F699D"/>
    <w:multiLevelType w:val="multilevel"/>
    <w:tmpl w:val="E8DE1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8B91711"/>
    <w:multiLevelType w:val="multilevel"/>
    <w:tmpl w:val="25A0E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6" w15:restartNumberingAfterBreak="0">
    <w:nsid w:val="7CB03EF8"/>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E2B7CA0"/>
    <w:multiLevelType w:val="multilevel"/>
    <w:tmpl w:val="CE287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EFC642C"/>
    <w:multiLevelType w:val="multilevel"/>
    <w:tmpl w:val="860C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F512840"/>
    <w:multiLevelType w:val="multilevel"/>
    <w:tmpl w:val="2F4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5939481">
    <w:abstractNumId w:val="129"/>
  </w:num>
  <w:num w:numId="2" w16cid:durableId="628517395">
    <w:abstractNumId w:val="53"/>
  </w:num>
  <w:num w:numId="3" w16cid:durableId="201329444">
    <w:abstractNumId w:val="177"/>
  </w:num>
  <w:num w:numId="4" w16cid:durableId="1290430449">
    <w:abstractNumId w:val="73"/>
  </w:num>
  <w:num w:numId="5" w16cid:durableId="1578975509">
    <w:abstractNumId w:val="39"/>
  </w:num>
  <w:num w:numId="6" w16cid:durableId="360204897">
    <w:abstractNumId w:val="120"/>
  </w:num>
  <w:num w:numId="7" w16cid:durableId="353961630">
    <w:abstractNumId w:val="42"/>
  </w:num>
  <w:num w:numId="8" w16cid:durableId="1950426596">
    <w:abstractNumId w:val="44"/>
  </w:num>
  <w:num w:numId="9" w16cid:durableId="1535574763">
    <w:abstractNumId w:val="95"/>
  </w:num>
  <w:num w:numId="10" w16cid:durableId="1638140701">
    <w:abstractNumId w:val="127"/>
  </w:num>
  <w:num w:numId="11" w16cid:durableId="569773292">
    <w:abstractNumId w:val="68"/>
  </w:num>
  <w:num w:numId="12" w16cid:durableId="1838182409">
    <w:abstractNumId w:val="127"/>
  </w:num>
  <w:num w:numId="13" w16cid:durableId="615411719">
    <w:abstractNumId w:val="151"/>
  </w:num>
  <w:num w:numId="14" w16cid:durableId="762844185">
    <w:abstractNumId w:val="19"/>
  </w:num>
  <w:num w:numId="15" w16cid:durableId="2001612541">
    <w:abstractNumId w:val="159"/>
  </w:num>
  <w:num w:numId="16" w16cid:durableId="235820779">
    <w:abstractNumId w:val="43"/>
  </w:num>
  <w:num w:numId="17" w16cid:durableId="1303542548">
    <w:abstractNumId w:val="59"/>
  </w:num>
  <w:num w:numId="18" w16cid:durableId="489564370">
    <w:abstractNumId w:val="163"/>
  </w:num>
  <w:num w:numId="19" w16cid:durableId="1164009506">
    <w:abstractNumId w:val="13"/>
  </w:num>
  <w:num w:numId="20" w16cid:durableId="1453554568">
    <w:abstractNumId w:val="175"/>
  </w:num>
  <w:num w:numId="21" w16cid:durableId="1649284876">
    <w:abstractNumId w:val="66"/>
  </w:num>
  <w:num w:numId="22" w16cid:durableId="1293636994">
    <w:abstractNumId w:val="17"/>
  </w:num>
  <w:num w:numId="23" w16cid:durableId="17595927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978084">
    <w:abstractNumId w:val="139"/>
  </w:num>
  <w:num w:numId="25" w16cid:durableId="1231693545">
    <w:abstractNumId w:val="100"/>
  </w:num>
  <w:num w:numId="26" w16cid:durableId="1246888715">
    <w:abstractNumId w:val="48"/>
  </w:num>
  <w:num w:numId="27" w16cid:durableId="1561091893">
    <w:abstractNumId w:val="30"/>
  </w:num>
  <w:num w:numId="28" w16cid:durableId="1900630612">
    <w:abstractNumId w:val="3"/>
  </w:num>
  <w:num w:numId="29" w16cid:durableId="818232262">
    <w:abstractNumId w:val="171"/>
  </w:num>
  <w:num w:numId="30" w16cid:durableId="1524175473">
    <w:abstractNumId w:val="35"/>
  </w:num>
  <w:num w:numId="31" w16cid:durableId="656374751">
    <w:abstractNumId w:val="6"/>
  </w:num>
  <w:num w:numId="32" w16cid:durableId="1976565846">
    <w:abstractNumId w:val="55"/>
  </w:num>
  <w:num w:numId="33" w16cid:durableId="1642342122">
    <w:abstractNumId w:val="174"/>
  </w:num>
  <w:num w:numId="34" w16cid:durableId="1360005603">
    <w:abstractNumId w:val="62"/>
  </w:num>
  <w:num w:numId="35" w16cid:durableId="44183247">
    <w:abstractNumId w:val="140"/>
  </w:num>
  <w:num w:numId="36" w16cid:durableId="210584092">
    <w:abstractNumId w:val="45"/>
  </w:num>
  <w:num w:numId="37" w16cid:durableId="270279675">
    <w:abstractNumId w:val="70"/>
  </w:num>
  <w:num w:numId="38" w16cid:durableId="404646066">
    <w:abstractNumId w:val="76"/>
  </w:num>
  <w:num w:numId="39" w16cid:durableId="558245302">
    <w:abstractNumId w:val="4"/>
  </w:num>
  <w:num w:numId="40" w16cid:durableId="362167646">
    <w:abstractNumId w:val="166"/>
  </w:num>
  <w:num w:numId="41" w16cid:durableId="327291698">
    <w:abstractNumId w:val="101"/>
  </w:num>
  <w:num w:numId="42" w16cid:durableId="1410154838">
    <w:abstractNumId w:val="149"/>
  </w:num>
  <w:num w:numId="43" w16cid:durableId="2021813675">
    <w:abstractNumId w:val="128"/>
  </w:num>
  <w:num w:numId="44" w16cid:durableId="264119054">
    <w:abstractNumId w:val="131"/>
  </w:num>
  <w:num w:numId="45" w16cid:durableId="672148500">
    <w:abstractNumId w:val="96"/>
  </w:num>
  <w:num w:numId="46" w16cid:durableId="216550220">
    <w:abstractNumId w:val="146"/>
  </w:num>
  <w:num w:numId="47" w16cid:durableId="1182011966">
    <w:abstractNumId w:val="12"/>
  </w:num>
  <w:num w:numId="48" w16cid:durableId="1412389189">
    <w:abstractNumId w:val="143"/>
  </w:num>
  <w:num w:numId="49" w16cid:durableId="1683429226">
    <w:abstractNumId w:val="31"/>
  </w:num>
  <w:num w:numId="50" w16cid:durableId="1886482629">
    <w:abstractNumId w:val="168"/>
  </w:num>
  <w:num w:numId="51" w16cid:durableId="1424767427">
    <w:abstractNumId w:val="65"/>
  </w:num>
  <w:num w:numId="52" w16cid:durableId="1201044306">
    <w:abstractNumId w:val="9"/>
  </w:num>
  <w:num w:numId="53" w16cid:durableId="471675924">
    <w:abstractNumId w:val="105"/>
  </w:num>
  <w:num w:numId="54" w16cid:durableId="1696880535">
    <w:abstractNumId w:val="28"/>
  </w:num>
  <w:num w:numId="55" w16cid:durableId="1715542467">
    <w:abstractNumId w:val="33"/>
  </w:num>
  <w:num w:numId="56" w16cid:durableId="1498619579">
    <w:abstractNumId w:val="63"/>
  </w:num>
  <w:num w:numId="57" w16cid:durableId="330067458">
    <w:abstractNumId w:val="2"/>
  </w:num>
  <w:num w:numId="58" w16cid:durableId="327438412">
    <w:abstractNumId w:val="159"/>
  </w:num>
  <w:num w:numId="59" w16cid:durableId="497160052">
    <w:abstractNumId w:val="159"/>
  </w:num>
  <w:num w:numId="60" w16cid:durableId="1677003236">
    <w:abstractNumId w:val="51"/>
  </w:num>
  <w:num w:numId="61" w16cid:durableId="1184322000">
    <w:abstractNumId w:val="109"/>
  </w:num>
  <w:num w:numId="62" w16cid:durableId="705102749">
    <w:abstractNumId w:val="162"/>
  </w:num>
  <w:num w:numId="63" w16cid:durableId="872618819">
    <w:abstractNumId w:val="162"/>
    <w:lvlOverride w:ilvl="1">
      <w:lvl w:ilvl="1">
        <w:numFmt w:val="bullet"/>
        <w:lvlText w:val=""/>
        <w:lvlJc w:val="left"/>
        <w:pPr>
          <w:tabs>
            <w:tab w:val="num" w:pos="1440"/>
          </w:tabs>
          <w:ind w:left="1440" w:hanging="360"/>
        </w:pPr>
        <w:rPr>
          <w:rFonts w:ascii="Symbol" w:hAnsi="Symbol" w:hint="default"/>
          <w:sz w:val="20"/>
        </w:rPr>
      </w:lvl>
    </w:lvlOverride>
  </w:num>
  <w:num w:numId="64" w16cid:durableId="1944991942">
    <w:abstractNumId w:val="162"/>
    <w:lvlOverride w:ilvl="1">
      <w:lvl w:ilvl="1">
        <w:numFmt w:val="bullet"/>
        <w:lvlText w:val=""/>
        <w:lvlJc w:val="left"/>
        <w:pPr>
          <w:tabs>
            <w:tab w:val="num" w:pos="1440"/>
          </w:tabs>
          <w:ind w:left="1440" w:hanging="360"/>
        </w:pPr>
        <w:rPr>
          <w:rFonts w:ascii="Symbol" w:hAnsi="Symbol" w:hint="default"/>
          <w:sz w:val="20"/>
        </w:rPr>
      </w:lvl>
    </w:lvlOverride>
  </w:num>
  <w:num w:numId="65" w16cid:durableId="595094181">
    <w:abstractNumId w:val="162"/>
    <w:lvlOverride w:ilvl="1">
      <w:lvl w:ilvl="1">
        <w:numFmt w:val="bullet"/>
        <w:lvlText w:val=""/>
        <w:lvlJc w:val="left"/>
        <w:pPr>
          <w:tabs>
            <w:tab w:val="num" w:pos="1440"/>
          </w:tabs>
          <w:ind w:left="1440" w:hanging="360"/>
        </w:pPr>
        <w:rPr>
          <w:rFonts w:ascii="Symbol" w:hAnsi="Symbol" w:hint="default"/>
          <w:sz w:val="20"/>
        </w:rPr>
      </w:lvl>
    </w:lvlOverride>
  </w:num>
  <w:num w:numId="66" w16cid:durableId="972324625">
    <w:abstractNumId w:val="162"/>
    <w:lvlOverride w:ilvl="1">
      <w:lvl w:ilvl="1">
        <w:numFmt w:val="bullet"/>
        <w:lvlText w:val=""/>
        <w:lvlJc w:val="left"/>
        <w:pPr>
          <w:tabs>
            <w:tab w:val="num" w:pos="1440"/>
          </w:tabs>
          <w:ind w:left="1440" w:hanging="360"/>
        </w:pPr>
        <w:rPr>
          <w:rFonts w:ascii="Symbol" w:hAnsi="Symbol" w:hint="default"/>
          <w:sz w:val="20"/>
        </w:rPr>
      </w:lvl>
    </w:lvlOverride>
  </w:num>
  <w:num w:numId="67" w16cid:durableId="1322807715">
    <w:abstractNumId w:val="162"/>
    <w:lvlOverride w:ilvl="1">
      <w:lvl w:ilvl="1">
        <w:numFmt w:val="bullet"/>
        <w:lvlText w:val=""/>
        <w:lvlJc w:val="left"/>
        <w:pPr>
          <w:tabs>
            <w:tab w:val="num" w:pos="1440"/>
          </w:tabs>
          <w:ind w:left="1440" w:hanging="360"/>
        </w:pPr>
        <w:rPr>
          <w:rFonts w:ascii="Symbol" w:hAnsi="Symbol" w:hint="default"/>
          <w:sz w:val="20"/>
        </w:rPr>
      </w:lvl>
    </w:lvlOverride>
  </w:num>
  <w:num w:numId="68" w16cid:durableId="917637689">
    <w:abstractNumId w:val="162"/>
    <w:lvlOverride w:ilvl="1">
      <w:lvl w:ilvl="1">
        <w:numFmt w:val="bullet"/>
        <w:lvlText w:val=""/>
        <w:lvlJc w:val="left"/>
        <w:pPr>
          <w:tabs>
            <w:tab w:val="num" w:pos="1440"/>
          </w:tabs>
          <w:ind w:left="1440" w:hanging="360"/>
        </w:pPr>
        <w:rPr>
          <w:rFonts w:ascii="Symbol" w:hAnsi="Symbol" w:hint="default"/>
          <w:sz w:val="20"/>
        </w:rPr>
      </w:lvl>
    </w:lvlOverride>
  </w:num>
  <w:num w:numId="69" w16cid:durableId="2078672398">
    <w:abstractNumId w:val="162"/>
    <w:lvlOverride w:ilvl="1">
      <w:lvl w:ilvl="1">
        <w:numFmt w:val="bullet"/>
        <w:lvlText w:val=""/>
        <w:lvlJc w:val="left"/>
        <w:pPr>
          <w:tabs>
            <w:tab w:val="num" w:pos="1440"/>
          </w:tabs>
          <w:ind w:left="1440" w:hanging="360"/>
        </w:pPr>
        <w:rPr>
          <w:rFonts w:ascii="Symbol" w:hAnsi="Symbol" w:hint="default"/>
          <w:sz w:val="20"/>
        </w:rPr>
      </w:lvl>
    </w:lvlOverride>
  </w:num>
  <w:num w:numId="70" w16cid:durableId="205535031">
    <w:abstractNumId w:val="162"/>
    <w:lvlOverride w:ilvl="1">
      <w:lvl w:ilvl="1">
        <w:numFmt w:val="bullet"/>
        <w:lvlText w:val=""/>
        <w:lvlJc w:val="left"/>
        <w:pPr>
          <w:tabs>
            <w:tab w:val="num" w:pos="1440"/>
          </w:tabs>
          <w:ind w:left="1440" w:hanging="360"/>
        </w:pPr>
        <w:rPr>
          <w:rFonts w:ascii="Symbol" w:hAnsi="Symbol" w:hint="default"/>
          <w:sz w:val="20"/>
        </w:rPr>
      </w:lvl>
    </w:lvlOverride>
  </w:num>
  <w:num w:numId="71" w16cid:durableId="612370049">
    <w:abstractNumId w:val="162"/>
    <w:lvlOverride w:ilvl="1">
      <w:lvl w:ilvl="1">
        <w:numFmt w:val="bullet"/>
        <w:lvlText w:val=""/>
        <w:lvlJc w:val="left"/>
        <w:pPr>
          <w:tabs>
            <w:tab w:val="num" w:pos="1440"/>
          </w:tabs>
          <w:ind w:left="1440" w:hanging="360"/>
        </w:pPr>
        <w:rPr>
          <w:rFonts w:ascii="Symbol" w:hAnsi="Symbol" w:hint="default"/>
          <w:sz w:val="20"/>
        </w:rPr>
      </w:lvl>
    </w:lvlOverride>
  </w:num>
  <w:num w:numId="72" w16cid:durableId="984814740">
    <w:abstractNumId w:val="162"/>
    <w:lvlOverride w:ilvl="1">
      <w:lvl w:ilvl="1">
        <w:numFmt w:val="bullet"/>
        <w:lvlText w:val=""/>
        <w:lvlJc w:val="left"/>
        <w:pPr>
          <w:tabs>
            <w:tab w:val="num" w:pos="1440"/>
          </w:tabs>
          <w:ind w:left="1440" w:hanging="360"/>
        </w:pPr>
        <w:rPr>
          <w:rFonts w:ascii="Symbol" w:hAnsi="Symbol" w:hint="default"/>
          <w:sz w:val="20"/>
        </w:rPr>
      </w:lvl>
    </w:lvlOverride>
  </w:num>
  <w:num w:numId="73" w16cid:durableId="1271401521">
    <w:abstractNumId w:val="18"/>
  </w:num>
  <w:num w:numId="74" w16cid:durableId="2099474531">
    <w:abstractNumId w:val="125"/>
  </w:num>
  <w:num w:numId="75" w16cid:durableId="2114326124">
    <w:abstractNumId w:val="125"/>
    <w:lvlOverride w:ilvl="1">
      <w:lvl w:ilvl="1">
        <w:numFmt w:val="bullet"/>
        <w:lvlText w:val=""/>
        <w:lvlJc w:val="left"/>
        <w:pPr>
          <w:tabs>
            <w:tab w:val="num" w:pos="1440"/>
          </w:tabs>
          <w:ind w:left="1440" w:hanging="360"/>
        </w:pPr>
        <w:rPr>
          <w:rFonts w:ascii="Symbol" w:hAnsi="Symbol" w:hint="default"/>
          <w:sz w:val="20"/>
        </w:rPr>
      </w:lvl>
    </w:lvlOverride>
  </w:num>
  <w:num w:numId="76" w16cid:durableId="1537615533">
    <w:abstractNumId w:val="125"/>
    <w:lvlOverride w:ilvl="1">
      <w:lvl w:ilvl="1">
        <w:numFmt w:val="bullet"/>
        <w:lvlText w:val=""/>
        <w:lvlJc w:val="left"/>
        <w:pPr>
          <w:tabs>
            <w:tab w:val="num" w:pos="1440"/>
          </w:tabs>
          <w:ind w:left="1440" w:hanging="360"/>
        </w:pPr>
        <w:rPr>
          <w:rFonts w:ascii="Symbol" w:hAnsi="Symbol" w:hint="default"/>
          <w:sz w:val="20"/>
        </w:rPr>
      </w:lvl>
    </w:lvlOverride>
  </w:num>
  <w:num w:numId="77" w16cid:durableId="1754621202">
    <w:abstractNumId w:val="125"/>
    <w:lvlOverride w:ilvl="1">
      <w:lvl w:ilvl="1">
        <w:numFmt w:val="bullet"/>
        <w:lvlText w:val=""/>
        <w:lvlJc w:val="left"/>
        <w:pPr>
          <w:tabs>
            <w:tab w:val="num" w:pos="1440"/>
          </w:tabs>
          <w:ind w:left="1440" w:hanging="360"/>
        </w:pPr>
        <w:rPr>
          <w:rFonts w:ascii="Symbol" w:hAnsi="Symbol" w:hint="default"/>
          <w:sz w:val="20"/>
        </w:rPr>
      </w:lvl>
    </w:lvlOverride>
  </w:num>
  <w:num w:numId="78" w16cid:durableId="828792361">
    <w:abstractNumId w:val="125"/>
    <w:lvlOverride w:ilvl="1">
      <w:lvl w:ilvl="1">
        <w:numFmt w:val="bullet"/>
        <w:lvlText w:val=""/>
        <w:lvlJc w:val="left"/>
        <w:pPr>
          <w:tabs>
            <w:tab w:val="num" w:pos="1440"/>
          </w:tabs>
          <w:ind w:left="1440" w:hanging="360"/>
        </w:pPr>
        <w:rPr>
          <w:rFonts w:ascii="Symbol" w:hAnsi="Symbol" w:hint="default"/>
          <w:sz w:val="20"/>
        </w:rPr>
      </w:lvl>
    </w:lvlOverride>
  </w:num>
  <w:num w:numId="79" w16cid:durableId="411509918">
    <w:abstractNumId w:val="125"/>
    <w:lvlOverride w:ilvl="1">
      <w:lvl w:ilvl="1">
        <w:numFmt w:val="bullet"/>
        <w:lvlText w:val=""/>
        <w:lvlJc w:val="left"/>
        <w:pPr>
          <w:tabs>
            <w:tab w:val="num" w:pos="1440"/>
          </w:tabs>
          <w:ind w:left="1440" w:hanging="360"/>
        </w:pPr>
        <w:rPr>
          <w:rFonts w:ascii="Symbol" w:hAnsi="Symbol" w:hint="default"/>
          <w:sz w:val="20"/>
        </w:rPr>
      </w:lvl>
    </w:lvlOverride>
  </w:num>
  <w:num w:numId="80" w16cid:durableId="714618878">
    <w:abstractNumId w:val="125"/>
    <w:lvlOverride w:ilvl="1">
      <w:lvl w:ilvl="1">
        <w:numFmt w:val="bullet"/>
        <w:lvlText w:val=""/>
        <w:lvlJc w:val="left"/>
        <w:pPr>
          <w:tabs>
            <w:tab w:val="num" w:pos="1440"/>
          </w:tabs>
          <w:ind w:left="1440" w:hanging="360"/>
        </w:pPr>
        <w:rPr>
          <w:rFonts w:ascii="Symbol" w:hAnsi="Symbol" w:hint="default"/>
          <w:sz w:val="20"/>
        </w:rPr>
      </w:lvl>
    </w:lvlOverride>
  </w:num>
  <w:num w:numId="81" w16cid:durableId="933633316">
    <w:abstractNumId w:val="106"/>
  </w:num>
  <w:num w:numId="82" w16cid:durableId="841237483">
    <w:abstractNumId w:val="106"/>
    <w:lvlOverride w:ilvl="1">
      <w:lvl w:ilvl="1">
        <w:numFmt w:val="bullet"/>
        <w:lvlText w:val=""/>
        <w:lvlJc w:val="left"/>
        <w:pPr>
          <w:tabs>
            <w:tab w:val="num" w:pos="1440"/>
          </w:tabs>
          <w:ind w:left="1440" w:hanging="360"/>
        </w:pPr>
        <w:rPr>
          <w:rFonts w:ascii="Symbol" w:hAnsi="Symbol" w:hint="default"/>
          <w:sz w:val="20"/>
        </w:rPr>
      </w:lvl>
    </w:lvlOverride>
  </w:num>
  <w:num w:numId="83" w16cid:durableId="551580066">
    <w:abstractNumId w:val="106"/>
    <w:lvlOverride w:ilvl="1">
      <w:lvl w:ilvl="1">
        <w:numFmt w:val="bullet"/>
        <w:lvlText w:val=""/>
        <w:lvlJc w:val="left"/>
        <w:pPr>
          <w:tabs>
            <w:tab w:val="num" w:pos="1440"/>
          </w:tabs>
          <w:ind w:left="1440" w:hanging="360"/>
        </w:pPr>
        <w:rPr>
          <w:rFonts w:ascii="Symbol" w:hAnsi="Symbol" w:hint="default"/>
          <w:sz w:val="20"/>
        </w:rPr>
      </w:lvl>
    </w:lvlOverride>
  </w:num>
  <w:num w:numId="84" w16cid:durableId="580866934">
    <w:abstractNumId w:val="106"/>
    <w:lvlOverride w:ilvl="1">
      <w:lvl w:ilvl="1">
        <w:numFmt w:val="bullet"/>
        <w:lvlText w:val=""/>
        <w:lvlJc w:val="left"/>
        <w:pPr>
          <w:tabs>
            <w:tab w:val="num" w:pos="1440"/>
          </w:tabs>
          <w:ind w:left="1440" w:hanging="360"/>
        </w:pPr>
        <w:rPr>
          <w:rFonts w:ascii="Symbol" w:hAnsi="Symbol" w:hint="default"/>
          <w:sz w:val="20"/>
        </w:rPr>
      </w:lvl>
    </w:lvlOverride>
  </w:num>
  <w:num w:numId="85" w16cid:durableId="1285691723">
    <w:abstractNumId w:val="10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6" w16cid:durableId="1603488534">
    <w:abstractNumId w:val="10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7" w16cid:durableId="772439081">
    <w:abstractNumId w:val="106"/>
    <w:lvlOverride w:ilvl="1">
      <w:lvl w:ilvl="1">
        <w:numFmt w:val="bullet"/>
        <w:lvlText w:val=""/>
        <w:lvlJc w:val="left"/>
        <w:pPr>
          <w:tabs>
            <w:tab w:val="num" w:pos="1440"/>
          </w:tabs>
          <w:ind w:left="1440" w:hanging="360"/>
        </w:pPr>
        <w:rPr>
          <w:rFonts w:ascii="Symbol" w:hAnsi="Symbol" w:hint="default"/>
          <w:sz w:val="20"/>
        </w:rPr>
      </w:lvl>
    </w:lvlOverride>
  </w:num>
  <w:num w:numId="88" w16cid:durableId="350378443">
    <w:abstractNumId w:val="106"/>
    <w:lvlOverride w:ilvl="1">
      <w:lvl w:ilvl="1">
        <w:numFmt w:val="bullet"/>
        <w:lvlText w:val=""/>
        <w:lvlJc w:val="left"/>
        <w:pPr>
          <w:tabs>
            <w:tab w:val="num" w:pos="1440"/>
          </w:tabs>
          <w:ind w:left="1440" w:hanging="360"/>
        </w:pPr>
        <w:rPr>
          <w:rFonts w:ascii="Symbol" w:hAnsi="Symbol" w:hint="default"/>
          <w:sz w:val="20"/>
        </w:rPr>
      </w:lvl>
    </w:lvlOverride>
  </w:num>
  <w:num w:numId="89" w16cid:durableId="357705162">
    <w:abstractNumId w:val="106"/>
    <w:lvlOverride w:ilvl="1">
      <w:lvl w:ilvl="1">
        <w:numFmt w:val="bullet"/>
        <w:lvlText w:val=""/>
        <w:lvlJc w:val="left"/>
        <w:pPr>
          <w:tabs>
            <w:tab w:val="num" w:pos="1440"/>
          </w:tabs>
          <w:ind w:left="1440" w:hanging="360"/>
        </w:pPr>
        <w:rPr>
          <w:rFonts w:ascii="Symbol" w:hAnsi="Symbol" w:hint="default"/>
          <w:sz w:val="20"/>
        </w:rPr>
      </w:lvl>
    </w:lvlOverride>
  </w:num>
  <w:num w:numId="90" w16cid:durableId="1711372654">
    <w:abstractNumId w:val="106"/>
    <w:lvlOverride w:ilvl="1">
      <w:lvl w:ilvl="1">
        <w:numFmt w:val="bullet"/>
        <w:lvlText w:val=""/>
        <w:lvlJc w:val="left"/>
        <w:pPr>
          <w:tabs>
            <w:tab w:val="num" w:pos="1440"/>
          </w:tabs>
          <w:ind w:left="1440" w:hanging="360"/>
        </w:pPr>
        <w:rPr>
          <w:rFonts w:ascii="Symbol" w:hAnsi="Symbol" w:hint="default"/>
          <w:sz w:val="20"/>
        </w:rPr>
      </w:lvl>
    </w:lvlOverride>
  </w:num>
  <w:num w:numId="91" w16cid:durableId="2006009588">
    <w:abstractNumId w:val="106"/>
    <w:lvlOverride w:ilvl="1">
      <w:lvl w:ilvl="1">
        <w:numFmt w:val="bullet"/>
        <w:lvlText w:val=""/>
        <w:lvlJc w:val="left"/>
        <w:pPr>
          <w:tabs>
            <w:tab w:val="num" w:pos="1440"/>
          </w:tabs>
          <w:ind w:left="1440" w:hanging="360"/>
        </w:pPr>
        <w:rPr>
          <w:rFonts w:ascii="Symbol" w:hAnsi="Symbol" w:hint="default"/>
          <w:sz w:val="20"/>
        </w:rPr>
      </w:lvl>
    </w:lvlOverride>
  </w:num>
  <w:num w:numId="92" w16cid:durableId="766124344">
    <w:abstractNumId w:val="106"/>
    <w:lvlOverride w:ilvl="1">
      <w:lvl w:ilvl="1">
        <w:numFmt w:val="bullet"/>
        <w:lvlText w:val=""/>
        <w:lvlJc w:val="left"/>
        <w:pPr>
          <w:tabs>
            <w:tab w:val="num" w:pos="1440"/>
          </w:tabs>
          <w:ind w:left="1440" w:hanging="360"/>
        </w:pPr>
        <w:rPr>
          <w:rFonts w:ascii="Symbol" w:hAnsi="Symbol" w:hint="default"/>
          <w:sz w:val="20"/>
        </w:rPr>
      </w:lvl>
    </w:lvlOverride>
  </w:num>
  <w:num w:numId="93" w16cid:durableId="1312709743">
    <w:abstractNumId w:val="106"/>
    <w:lvlOverride w:ilvl="1">
      <w:lvl w:ilvl="1">
        <w:numFmt w:val="bullet"/>
        <w:lvlText w:val=""/>
        <w:lvlJc w:val="left"/>
        <w:pPr>
          <w:tabs>
            <w:tab w:val="num" w:pos="1440"/>
          </w:tabs>
          <w:ind w:left="1440" w:hanging="360"/>
        </w:pPr>
        <w:rPr>
          <w:rFonts w:ascii="Symbol" w:hAnsi="Symbol" w:hint="default"/>
          <w:sz w:val="20"/>
        </w:rPr>
      </w:lvl>
    </w:lvlOverride>
  </w:num>
  <w:num w:numId="94" w16cid:durableId="452362139">
    <w:abstractNumId w:val="106"/>
    <w:lvlOverride w:ilvl="1">
      <w:lvl w:ilvl="1">
        <w:numFmt w:val="bullet"/>
        <w:lvlText w:val=""/>
        <w:lvlJc w:val="left"/>
        <w:pPr>
          <w:tabs>
            <w:tab w:val="num" w:pos="1440"/>
          </w:tabs>
          <w:ind w:left="1440" w:hanging="360"/>
        </w:pPr>
        <w:rPr>
          <w:rFonts w:ascii="Symbol" w:hAnsi="Symbol" w:hint="default"/>
          <w:sz w:val="20"/>
        </w:rPr>
      </w:lvl>
    </w:lvlOverride>
  </w:num>
  <w:num w:numId="95" w16cid:durableId="1191721207">
    <w:abstractNumId w:val="106"/>
    <w:lvlOverride w:ilvl="1">
      <w:lvl w:ilvl="1">
        <w:numFmt w:val="bullet"/>
        <w:lvlText w:val=""/>
        <w:lvlJc w:val="left"/>
        <w:pPr>
          <w:tabs>
            <w:tab w:val="num" w:pos="1440"/>
          </w:tabs>
          <w:ind w:left="1440" w:hanging="360"/>
        </w:pPr>
        <w:rPr>
          <w:rFonts w:ascii="Symbol" w:hAnsi="Symbol" w:hint="default"/>
          <w:sz w:val="20"/>
        </w:rPr>
      </w:lvl>
    </w:lvlOverride>
  </w:num>
  <w:num w:numId="96" w16cid:durableId="472142549">
    <w:abstractNumId w:val="111"/>
  </w:num>
  <w:num w:numId="97" w16cid:durableId="2038768598">
    <w:abstractNumId w:val="22"/>
  </w:num>
  <w:num w:numId="98" w16cid:durableId="2057384907">
    <w:abstractNumId w:val="161"/>
  </w:num>
  <w:num w:numId="99" w16cid:durableId="1970889711">
    <w:abstractNumId w:val="161"/>
    <w:lvlOverride w:ilvl="1">
      <w:lvl w:ilvl="1">
        <w:numFmt w:val="bullet"/>
        <w:lvlText w:val=""/>
        <w:lvlJc w:val="left"/>
        <w:pPr>
          <w:tabs>
            <w:tab w:val="num" w:pos="1440"/>
          </w:tabs>
          <w:ind w:left="1440" w:hanging="360"/>
        </w:pPr>
        <w:rPr>
          <w:rFonts w:ascii="Symbol" w:hAnsi="Symbol" w:hint="default"/>
          <w:sz w:val="20"/>
        </w:rPr>
      </w:lvl>
    </w:lvlOverride>
  </w:num>
  <w:num w:numId="100" w16cid:durableId="372732733">
    <w:abstractNumId w:val="161"/>
    <w:lvlOverride w:ilvl="1">
      <w:lvl w:ilvl="1">
        <w:numFmt w:val="bullet"/>
        <w:lvlText w:val=""/>
        <w:lvlJc w:val="left"/>
        <w:pPr>
          <w:tabs>
            <w:tab w:val="num" w:pos="1440"/>
          </w:tabs>
          <w:ind w:left="1440" w:hanging="360"/>
        </w:pPr>
        <w:rPr>
          <w:rFonts w:ascii="Symbol" w:hAnsi="Symbol" w:hint="default"/>
          <w:sz w:val="20"/>
        </w:rPr>
      </w:lvl>
    </w:lvlOverride>
  </w:num>
  <w:num w:numId="101" w16cid:durableId="1248004797">
    <w:abstractNumId w:val="161"/>
    <w:lvlOverride w:ilvl="1">
      <w:lvl w:ilvl="1">
        <w:numFmt w:val="bullet"/>
        <w:lvlText w:val=""/>
        <w:lvlJc w:val="left"/>
        <w:pPr>
          <w:tabs>
            <w:tab w:val="num" w:pos="1440"/>
          </w:tabs>
          <w:ind w:left="1440" w:hanging="360"/>
        </w:pPr>
        <w:rPr>
          <w:rFonts w:ascii="Symbol" w:hAnsi="Symbol" w:hint="default"/>
          <w:sz w:val="20"/>
        </w:rPr>
      </w:lvl>
    </w:lvlOverride>
  </w:num>
  <w:num w:numId="102" w16cid:durableId="1239172406">
    <w:abstractNumId w:val="1"/>
  </w:num>
  <w:num w:numId="103" w16cid:durableId="266275200">
    <w:abstractNumId w:val="144"/>
  </w:num>
  <w:num w:numId="104" w16cid:durableId="500122179">
    <w:abstractNumId w:val="144"/>
    <w:lvlOverride w:ilvl="1">
      <w:lvl w:ilvl="1">
        <w:numFmt w:val="bullet"/>
        <w:lvlText w:val=""/>
        <w:lvlJc w:val="left"/>
        <w:pPr>
          <w:tabs>
            <w:tab w:val="num" w:pos="1440"/>
          </w:tabs>
          <w:ind w:left="1440" w:hanging="360"/>
        </w:pPr>
        <w:rPr>
          <w:rFonts w:ascii="Symbol" w:hAnsi="Symbol" w:hint="default"/>
          <w:sz w:val="20"/>
        </w:rPr>
      </w:lvl>
    </w:lvlOverride>
  </w:num>
  <w:num w:numId="105" w16cid:durableId="2055422776">
    <w:abstractNumId w:val="144"/>
    <w:lvlOverride w:ilvl="1">
      <w:lvl w:ilvl="1">
        <w:numFmt w:val="bullet"/>
        <w:lvlText w:val=""/>
        <w:lvlJc w:val="left"/>
        <w:pPr>
          <w:tabs>
            <w:tab w:val="num" w:pos="1440"/>
          </w:tabs>
          <w:ind w:left="1440" w:hanging="360"/>
        </w:pPr>
        <w:rPr>
          <w:rFonts w:ascii="Symbol" w:hAnsi="Symbol" w:hint="default"/>
          <w:sz w:val="20"/>
        </w:rPr>
      </w:lvl>
    </w:lvlOverride>
  </w:num>
  <w:num w:numId="106" w16cid:durableId="1969168245">
    <w:abstractNumId w:val="144"/>
    <w:lvlOverride w:ilvl="1">
      <w:lvl w:ilvl="1">
        <w:numFmt w:val="bullet"/>
        <w:lvlText w:val=""/>
        <w:lvlJc w:val="left"/>
        <w:pPr>
          <w:tabs>
            <w:tab w:val="num" w:pos="1440"/>
          </w:tabs>
          <w:ind w:left="1440" w:hanging="360"/>
        </w:pPr>
        <w:rPr>
          <w:rFonts w:ascii="Symbol" w:hAnsi="Symbol" w:hint="default"/>
          <w:sz w:val="20"/>
        </w:rPr>
      </w:lvl>
    </w:lvlOverride>
  </w:num>
  <w:num w:numId="107" w16cid:durableId="2096978391">
    <w:abstractNumId w:val="24"/>
  </w:num>
  <w:num w:numId="108" w16cid:durableId="1032149721">
    <w:abstractNumId w:val="108"/>
  </w:num>
  <w:num w:numId="109" w16cid:durableId="567770036">
    <w:abstractNumId w:val="108"/>
    <w:lvlOverride w:ilvl="1">
      <w:lvl w:ilvl="1">
        <w:numFmt w:val="bullet"/>
        <w:lvlText w:val=""/>
        <w:lvlJc w:val="left"/>
        <w:pPr>
          <w:tabs>
            <w:tab w:val="num" w:pos="1440"/>
          </w:tabs>
          <w:ind w:left="1440" w:hanging="360"/>
        </w:pPr>
        <w:rPr>
          <w:rFonts w:ascii="Symbol" w:hAnsi="Symbol" w:hint="default"/>
          <w:sz w:val="20"/>
        </w:rPr>
      </w:lvl>
    </w:lvlOverride>
  </w:num>
  <w:num w:numId="110" w16cid:durableId="588467692">
    <w:abstractNumId w:val="108"/>
    <w:lvlOverride w:ilvl="1">
      <w:lvl w:ilvl="1">
        <w:numFmt w:val="bullet"/>
        <w:lvlText w:val=""/>
        <w:lvlJc w:val="left"/>
        <w:pPr>
          <w:tabs>
            <w:tab w:val="num" w:pos="1440"/>
          </w:tabs>
          <w:ind w:left="1440" w:hanging="360"/>
        </w:pPr>
        <w:rPr>
          <w:rFonts w:ascii="Symbol" w:hAnsi="Symbol" w:hint="default"/>
          <w:sz w:val="20"/>
        </w:rPr>
      </w:lvl>
    </w:lvlOverride>
  </w:num>
  <w:num w:numId="111" w16cid:durableId="634213569">
    <w:abstractNumId w:val="169"/>
  </w:num>
  <w:num w:numId="112" w16cid:durableId="273026031">
    <w:abstractNumId w:val="57"/>
  </w:num>
  <w:num w:numId="113" w16cid:durableId="1548562720">
    <w:abstractNumId w:val="57"/>
    <w:lvlOverride w:ilvl="1">
      <w:lvl w:ilvl="1">
        <w:numFmt w:val="bullet"/>
        <w:lvlText w:val=""/>
        <w:lvlJc w:val="left"/>
        <w:pPr>
          <w:tabs>
            <w:tab w:val="num" w:pos="1440"/>
          </w:tabs>
          <w:ind w:left="1440" w:hanging="360"/>
        </w:pPr>
        <w:rPr>
          <w:rFonts w:ascii="Symbol" w:hAnsi="Symbol" w:hint="default"/>
          <w:sz w:val="20"/>
        </w:rPr>
      </w:lvl>
    </w:lvlOverride>
  </w:num>
  <w:num w:numId="114" w16cid:durableId="626619461">
    <w:abstractNumId w:val="57"/>
    <w:lvlOverride w:ilvl="1">
      <w:lvl w:ilvl="1">
        <w:numFmt w:val="bullet"/>
        <w:lvlText w:val=""/>
        <w:lvlJc w:val="left"/>
        <w:pPr>
          <w:tabs>
            <w:tab w:val="num" w:pos="1440"/>
          </w:tabs>
          <w:ind w:left="1440" w:hanging="360"/>
        </w:pPr>
        <w:rPr>
          <w:rFonts w:ascii="Symbol" w:hAnsi="Symbol" w:hint="default"/>
          <w:sz w:val="20"/>
        </w:rPr>
      </w:lvl>
    </w:lvlOverride>
  </w:num>
  <w:num w:numId="115" w16cid:durableId="1438669795">
    <w:abstractNumId w:val="57"/>
    <w:lvlOverride w:ilvl="1">
      <w:lvl w:ilvl="1">
        <w:numFmt w:val="bullet"/>
        <w:lvlText w:val=""/>
        <w:lvlJc w:val="left"/>
        <w:pPr>
          <w:tabs>
            <w:tab w:val="num" w:pos="1440"/>
          </w:tabs>
          <w:ind w:left="1440" w:hanging="360"/>
        </w:pPr>
        <w:rPr>
          <w:rFonts w:ascii="Symbol" w:hAnsi="Symbol" w:hint="default"/>
          <w:sz w:val="20"/>
        </w:rPr>
      </w:lvl>
    </w:lvlOverride>
  </w:num>
  <w:num w:numId="116" w16cid:durableId="2098554564">
    <w:abstractNumId w:val="57"/>
    <w:lvlOverride w:ilvl="1">
      <w:lvl w:ilvl="1">
        <w:numFmt w:val="bullet"/>
        <w:lvlText w:val=""/>
        <w:lvlJc w:val="left"/>
        <w:pPr>
          <w:tabs>
            <w:tab w:val="num" w:pos="1440"/>
          </w:tabs>
          <w:ind w:left="1440" w:hanging="360"/>
        </w:pPr>
        <w:rPr>
          <w:rFonts w:ascii="Symbol" w:hAnsi="Symbol" w:hint="default"/>
          <w:sz w:val="20"/>
        </w:rPr>
      </w:lvl>
    </w:lvlOverride>
  </w:num>
  <w:num w:numId="117" w16cid:durableId="25523693">
    <w:abstractNumId w:val="173"/>
  </w:num>
  <w:num w:numId="118" w16cid:durableId="1938907804">
    <w:abstractNumId w:val="148"/>
  </w:num>
  <w:num w:numId="119" w16cid:durableId="1890069492">
    <w:abstractNumId w:val="148"/>
    <w:lvlOverride w:ilvl="1">
      <w:lvl w:ilvl="1">
        <w:numFmt w:val="bullet"/>
        <w:lvlText w:val=""/>
        <w:lvlJc w:val="left"/>
        <w:pPr>
          <w:tabs>
            <w:tab w:val="num" w:pos="1440"/>
          </w:tabs>
          <w:ind w:left="1440" w:hanging="360"/>
        </w:pPr>
        <w:rPr>
          <w:rFonts w:ascii="Symbol" w:hAnsi="Symbol" w:hint="default"/>
          <w:sz w:val="20"/>
        </w:rPr>
      </w:lvl>
    </w:lvlOverride>
  </w:num>
  <w:num w:numId="120" w16cid:durableId="87315399">
    <w:abstractNumId w:val="148"/>
    <w:lvlOverride w:ilvl="1">
      <w:lvl w:ilvl="1">
        <w:numFmt w:val="bullet"/>
        <w:lvlText w:val=""/>
        <w:lvlJc w:val="left"/>
        <w:pPr>
          <w:tabs>
            <w:tab w:val="num" w:pos="1440"/>
          </w:tabs>
          <w:ind w:left="1440" w:hanging="360"/>
        </w:pPr>
        <w:rPr>
          <w:rFonts w:ascii="Symbol" w:hAnsi="Symbol" w:hint="default"/>
          <w:sz w:val="20"/>
        </w:rPr>
      </w:lvl>
    </w:lvlOverride>
  </w:num>
  <w:num w:numId="121" w16cid:durableId="1392852662">
    <w:abstractNumId w:val="164"/>
  </w:num>
  <w:num w:numId="122" w16cid:durableId="376710005">
    <w:abstractNumId w:val="25"/>
  </w:num>
  <w:num w:numId="123" w16cid:durableId="1760247267">
    <w:abstractNumId w:val="25"/>
    <w:lvlOverride w:ilvl="1">
      <w:lvl w:ilvl="1">
        <w:numFmt w:val="bullet"/>
        <w:lvlText w:val=""/>
        <w:lvlJc w:val="left"/>
        <w:pPr>
          <w:tabs>
            <w:tab w:val="num" w:pos="1440"/>
          </w:tabs>
          <w:ind w:left="1440" w:hanging="360"/>
        </w:pPr>
        <w:rPr>
          <w:rFonts w:ascii="Symbol" w:hAnsi="Symbol" w:hint="default"/>
          <w:sz w:val="20"/>
        </w:rPr>
      </w:lvl>
    </w:lvlOverride>
  </w:num>
  <w:num w:numId="124" w16cid:durableId="404959760">
    <w:abstractNumId w:val="25"/>
    <w:lvlOverride w:ilvl="1">
      <w:lvl w:ilvl="1">
        <w:numFmt w:val="bullet"/>
        <w:lvlText w:val=""/>
        <w:lvlJc w:val="left"/>
        <w:pPr>
          <w:tabs>
            <w:tab w:val="num" w:pos="1440"/>
          </w:tabs>
          <w:ind w:left="1440" w:hanging="360"/>
        </w:pPr>
        <w:rPr>
          <w:rFonts w:ascii="Symbol" w:hAnsi="Symbol" w:hint="default"/>
          <w:sz w:val="20"/>
        </w:rPr>
      </w:lvl>
    </w:lvlOverride>
  </w:num>
  <w:num w:numId="125" w16cid:durableId="2070835349">
    <w:abstractNumId w:val="135"/>
  </w:num>
  <w:num w:numId="126" w16cid:durableId="904531121">
    <w:abstractNumId w:val="98"/>
  </w:num>
  <w:num w:numId="127" w16cid:durableId="976228586">
    <w:abstractNumId w:val="98"/>
    <w:lvlOverride w:ilvl="1">
      <w:lvl w:ilvl="1">
        <w:numFmt w:val="bullet"/>
        <w:lvlText w:val=""/>
        <w:lvlJc w:val="left"/>
        <w:pPr>
          <w:tabs>
            <w:tab w:val="num" w:pos="1440"/>
          </w:tabs>
          <w:ind w:left="1440" w:hanging="360"/>
        </w:pPr>
        <w:rPr>
          <w:rFonts w:ascii="Symbol" w:hAnsi="Symbol" w:hint="default"/>
          <w:sz w:val="20"/>
        </w:rPr>
      </w:lvl>
    </w:lvlOverride>
  </w:num>
  <w:num w:numId="128" w16cid:durableId="1619027032">
    <w:abstractNumId w:val="98"/>
    <w:lvlOverride w:ilvl="1">
      <w:lvl w:ilvl="1">
        <w:numFmt w:val="bullet"/>
        <w:lvlText w:val=""/>
        <w:lvlJc w:val="left"/>
        <w:pPr>
          <w:tabs>
            <w:tab w:val="num" w:pos="1440"/>
          </w:tabs>
          <w:ind w:left="1440" w:hanging="360"/>
        </w:pPr>
        <w:rPr>
          <w:rFonts w:ascii="Symbol" w:hAnsi="Symbol" w:hint="default"/>
          <w:sz w:val="20"/>
        </w:rPr>
      </w:lvl>
    </w:lvlOverride>
  </w:num>
  <w:num w:numId="129" w16cid:durableId="1338846065">
    <w:abstractNumId w:val="7"/>
  </w:num>
  <w:num w:numId="130" w16cid:durableId="744109098">
    <w:abstractNumId w:val="116"/>
  </w:num>
  <w:num w:numId="131" w16cid:durableId="1716808659">
    <w:abstractNumId w:val="116"/>
    <w:lvlOverride w:ilvl="1">
      <w:lvl w:ilvl="1">
        <w:numFmt w:val="bullet"/>
        <w:lvlText w:val=""/>
        <w:lvlJc w:val="left"/>
        <w:pPr>
          <w:tabs>
            <w:tab w:val="num" w:pos="1440"/>
          </w:tabs>
          <w:ind w:left="1440" w:hanging="360"/>
        </w:pPr>
        <w:rPr>
          <w:rFonts w:ascii="Symbol" w:hAnsi="Symbol" w:hint="default"/>
          <w:sz w:val="20"/>
        </w:rPr>
      </w:lvl>
    </w:lvlOverride>
  </w:num>
  <w:num w:numId="132" w16cid:durableId="206264907">
    <w:abstractNumId w:val="116"/>
    <w:lvlOverride w:ilvl="1">
      <w:lvl w:ilvl="1">
        <w:numFmt w:val="bullet"/>
        <w:lvlText w:val=""/>
        <w:lvlJc w:val="left"/>
        <w:pPr>
          <w:tabs>
            <w:tab w:val="num" w:pos="1440"/>
          </w:tabs>
          <w:ind w:left="1440" w:hanging="360"/>
        </w:pPr>
        <w:rPr>
          <w:rFonts w:ascii="Symbol" w:hAnsi="Symbol" w:hint="default"/>
          <w:sz w:val="20"/>
        </w:rPr>
      </w:lvl>
    </w:lvlOverride>
  </w:num>
  <w:num w:numId="133" w16cid:durableId="1300459412">
    <w:abstractNumId w:val="1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4" w16cid:durableId="237323671">
    <w:abstractNumId w:val="1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5" w16cid:durableId="1759056425">
    <w:abstractNumId w:val="116"/>
    <w:lvlOverride w:ilvl="1">
      <w:lvl w:ilvl="1">
        <w:numFmt w:val="bullet"/>
        <w:lvlText w:val=""/>
        <w:lvlJc w:val="left"/>
        <w:pPr>
          <w:tabs>
            <w:tab w:val="num" w:pos="1440"/>
          </w:tabs>
          <w:ind w:left="1440" w:hanging="360"/>
        </w:pPr>
        <w:rPr>
          <w:rFonts w:ascii="Symbol" w:hAnsi="Symbol" w:hint="default"/>
          <w:sz w:val="20"/>
        </w:rPr>
      </w:lvl>
    </w:lvlOverride>
  </w:num>
  <w:num w:numId="136" w16cid:durableId="1892501083">
    <w:abstractNumId w:val="116"/>
    <w:lvlOverride w:ilvl="1">
      <w:lvl w:ilvl="1">
        <w:numFmt w:val="bullet"/>
        <w:lvlText w:val=""/>
        <w:lvlJc w:val="left"/>
        <w:pPr>
          <w:tabs>
            <w:tab w:val="num" w:pos="1440"/>
          </w:tabs>
          <w:ind w:left="1440" w:hanging="360"/>
        </w:pPr>
        <w:rPr>
          <w:rFonts w:ascii="Symbol" w:hAnsi="Symbol" w:hint="default"/>
          <w:sz w:val="20"/>
        </w:rPr>
      </w:lvl>
    </w:lvlOverride>
  </w:num>
  <w:num w:numId="137" w16cid:durableId="1112243549">
    <w:abstractNumId w:val="178"/>
  </w:num>
  <w:num w:numId="138" w16cid:durableId="1507206956">
    <w:abstractNumId w:val="85"/>
  </w:num>
  <w:num w:numId="139" w16cid:durableId="256905445">
    <w:abstractNumId w:val="85"/>
    <w:lvlOverride w:ilvl="1">
      <w:lvl w:ilvl="1">
        <w:numFmt w:val="bullet"/>
        <w:lvlText w:val=""/>
        <w:lvlJc w:val="left"/>
        <w:pPr>
          <w:tabs>
            <w:tab w:val="num" w:pos="1440"/>
          </w:tabs>
          <w:ind w:left="1440" w:hanging="360"/>
        </w:pPr>
        <w:rPr>
          <w:rFonts w:ascii="Symbol" w:hAnsi="Symbol" w:hint="default"/>
          <w:sz w:val="20"/>
        </w:rPr>
      </w:lvl>
    </w:lvlOverride>
  </w:num>
  <w:num w:numId="140" w16cid:durableId="1211645702">
    <w:abstractNumId w:val="85"/>
    <w:lvlOverride w:ilvl="1">
      <w:lvl w:ilvl="1">
        <w:numFmt w:val="bullet"/>
        <w:lvlText w:val=""/>
        <w:lvlJc w:val="left"/>
        <w:pPr>
          <w:tabs>
            <w:tab w:val="num" w:pos="1440"/>
          </w:tabs>
          <w:ind w:left="1440" w:hanging="360"/>
        </w:pPr>
        <w:rPr>
          <w:rFonts w:ascii="Symbol" w:hAnsi="Symbol" w:hint="default"/>
          <w:sz w:val="20"/>
        </w:rPr>
      </w:lvl>
    </w:lvlOverride>
  </w:num>
  <w:num w:numId="141" w16cid:durableId="1896698485">
    <w:abstractNumId w:val="8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42" w16cid:durableId="478957483">
    <w:abstractNumId w:val="8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43" w16cid:durableId="861629464">
    <w:abstractNumId w:val="85"/>
    <w:lvlOverride w:ilvl="1">
      <w:lvl w:ilvl="1">
        <w:numFmt w:val="bullet"/>
        <w:lvlText w:val=""/>
        <w:lvlJc w:val="left"/>
        <w:pPr>
          <w:tabs>
            <w:tab w:val="num" w:pos="1440"/>
          </w:tabs>
          <w:ind w:left="1440" w:hanging="360"/>
        </w:pPr>
        <w:rPr>
          <w:rFonts w:ascii="Symbol" w:hAnsi="Symbol" w:hint="default"/>
          <w:sz w:val="20"/>
        </w:rPr>
      </w:lvl>
    </w:lvlOverride>
  </w:num>
  <w:num w:numId="144" w16cid:durableId="1326084693">
    <w:abstractNumId w:val="126"/>
  </w:num>
  <w:num w:numId="145" w16cid:durableId="1958561923">
    <w:abstractNumId w:val="172"/>
  </w:num>
  <w:num w:numId="146" w16cid:durableId="1814718212">
    <w:abstractNumId w:val="172"/>
    <w:lvlOverride w:ilvl="1">
      <w:lvl w:ilvl="1">
        <w:numFmt w:val="bullet"/>
        <w:lvlText w:val=""/>
        <w:lvlJc w:val="left"/>
        <w:pPr>
          <w:tabs>
            <w:tab w:val="num" w:pos="1440"/>
          </w:tabs>
          <w:ind w:left="1440" w:hanging="360"/>
        </w:pPr>
        <w:rPr>
          <w:rFonts w:ascii="Symbol" w:hAnsi="Symbol" w:hint="default"/>
          <w:sz w:val="20"/>
        </w:rPr>
      </w:lvl>
    </w:lvlOverride>
  </w:num>
  <w:num w:numId="147" w16cid:durableId="1328481323">
    <w:abstractNumId w:val="172"/>
    <w:lvlOverride w:ilvl="1">
      <w:lvl w:ilvl="1">
        <w:numFmt w:val="bullet"/>
        <w:lvlText w:val=""/>
        <w:lvlJc w:val="left"/>
        <w:pPr>
          <w:tabs>
            <w:tab w:val="num" w:pos="1440"/>
          </w:tabs>
          <w:ind w:left="1440" w:hanging="360"/>
        </w:pPr>
        <w:rPr>
          <w:rFonts w:ascii="Symbol" w:hAnsi="Symbol" w:hint="default"/>
          <w:sz w:val="20"/>
        </w:rPr>
      </w:lvl>
    </w:lvlOverride>
  </w:num>
  <w:num w:numId="148" w16cid:durableId="1843423228">
    <w:abstractNumId w:val="134"/>
  </w:num>
  <w:num w:numId="149" w16cid:durableId="1977056419">
    <w:abstractNumId w:val="157"/>
  </w:num>
  <w:num w:numId="150" w16cid:durableId="226647932">
    <w:abstractNumId w:val="157"/>
    <w:lvlOverride w:ilvl="1">
      <w:lvl w:ilvl="1">
        <w:numFmt w:val="bullet"/>
        <w:lvlText w:val=""/>
        <w:lvlJc w:val="left"/>
        <w:pPr>
          <w:tabs>
            <w:tab w:val="num" w:pos="1440"/>
          </w:tabs>
          <w:ind w:left="1440" w:hanging="360"/>
        </w:pPr>
        <w:rPr>
          <w:rFonts w:ascii="Symbol" w:hAnsi="Symbol" w:hint="default"/>
          <w:sz w:val="20"/>
        </w:rPr>
      </w:lvl>
    </w:lvlOverride>
  </w:num>
  <w:num w:numId="151" w16cid:durableId="478770597">
    <w:abstractNumId w:val="157"/>
    <w:lvlOverride w:ilvl="1">
      <w:lvl w:ilvl="1">
        <w:numFmt w:val="bullet"/>
        <w:lvlText w:val=""/>
        <w:lvlJc w:val="left"/>
        <w:pPr>
          <w:tabs>
            <w:tab w:val="num" w:pos="1440"/>
          </w:tabs>
          <w:ind w:left="1440" w:hanging="360"/>
        </w:pPr>
        <w:rPr>
          <w:rFonts w:ascii="Symbol" w:hAnsi="Symbol" w:hint="default"/>
          <w:sz w:val="20"/>
        </w:rPr>
      </w:lvl>
    </w:lvlOverride>
  </w:num>
  <w:num w:numId="152" w16cid:durableId="454560834">
    <w:abstractNumId w:val="157"/>
    <w:lvlOverride w:ilvl="1">
      <w:lvl w:ilvl="1">
        <w:numFmt w:val="bullet"/>
        <w:lvlText w:val=""/>
        <w:lvlJc w:val="left"/>
        <w:pPr>
          <w:tabs>
            <w:tab w:val="num" w:pos="1440"/>
          </w:tabs>
          <w:ind w:left="1440" w:hanging="360"/>
        </w:pPr>
        <w:rPr>
          <w:rFonts w:ascii="Symbol" w:hAnsi="Symbol" w:hint="default"/>
          <w:sz w:val="20"/>
        </w:rPr>
      </w:lvl>
    </w:lvlOverride>
  </w:num>
  <w:num w:numId="153" w16cid:durableId="769813246">
    <w:abstractNumId w:val="145"/>
  </w:num>
  <w:num w:numId="154" w16cid:durableId="295258169">
    <w:abstractNumId w:val="103"/>
  </w:num>
  <w:num w:numId="155" w16cid:durableId="1071929057">
    <w:abstractNumId w:val="103"/>
    <w:lvlOverride w:ilvl="1">
      <w:lvl w:ilvl="1">
        <w:numFmt w:val="bullet"/>
        <w:lvlText w:val=""/>
        <w:lvlJc w:val="left"/>
        <w:pPr>
          <w:tabs>
            <w:tab w:val="num" w:pos="1440"/>
          </w:tabs>
          <w:ind w:left="1440" w:hanging="360"/>
        </w:pPr>
        <w:rPr>
          <w:rFonts w:ascii="Symbol" w:hAnsi="Symbol" w:hint="default"/>
          <w:sz w:val="20"/>
        </w:rPr>
      </w:lvl>
    </w:lvlOverride>
  </w:num>
  <w:num w:numId="156" w16cid:durableId="1806241870">
    <w:abstractNumId w:val="103"/>
    <w:lvlOverride w:ilvl="1">
      <w:lvl w:ilvl="1">
        <w:numFmt w:val="bullet"/>
        <w:lvlText w:val=""/>
        <w:lvlJc w:val="left"/>
        <w:pPr>
          <w:tabs>
            <w:tab w:val="num" w:pos="1440"/>
          </w:tabs>
          <w:ind w:left="1440" w:hanging="360"/>
        </w:pPr>
        <w:rPr>
          <w:rFonts w:ascii="Symbol" w:hAnsi="Symbol" w:hint="default"/>
          <w:sz w:val="20"/>
        </w:rPr>
      </w:lvl>
    </w:lvlOverride>
  </w:num>
  <w:num w:numId="157" w16cid:durableId="1098258147">
    <w:abstractNumId w:val="8"/>
  </w:num>
  <w:num w:numId="158" w16cid:durableId="1318996059">
    <w:abstractNumId w:val="86"/>
  </w:num>
  <w:num w:numId="159" w16cid:durableId="591818073">
    <w:abstractNumId w:val="86"/>
    <w:lvlOverride w:ilvl="1">
      <w:lvl w:ilvl="1">
        <w:numFmt w:val="bullet"/>
        <w:lvlText w:val=""/>
        <w:lvlJc w:val="left"/>
        <w:pPr>
          <w:tabs>
            <w:tab w:val="num" w:pos="1440"/>
          </w:tabs>
          <w:ind w:left="1440" w:hanging="360"/>
        </w:pPr>
        <w:rPr>
          <w:rFonts w:ascii="Symbol" w:hAnsi="Symbol" w:hint="default"/>
          <w:sz w:val="20"/>
        </w:rPr>
      </w:lvl>
    </w:lvlOverride>
  </w:num>
  <w:num w:numId="160" w16cid:durableId="1071926086">
    <w:abstractNumId w:val="86"/>
    <w:lvlOverride w:ilvl="1">
      <w:lvl w:ilvl="1">
        <w:numFmt w:val="bullet"/>
        <w:lvlText w:val=""/>
        <w:lvlJc w:val="left"/>
        <w:pPr>
          <w:tabs>
            <w:tab w:val="num" w:pos="1440"/>
          </w:tabs>
          <w:ind w:left="1440" w:hanging="360"/>
        </w:pPr>
        <w:rPr>
          <w:rFonts w:ascii="Symbol" w:hAnsi="Symbol" w:hint="default"/>
          <w:sz w:val="20"/>
        </w:rPr>
      </w:lvl>
    </w:lvlOverride>
  </w:num>
  <w:num w:numId="161" w16cid:durableId="1921672308">
    <w:abstractNumId w:val="86"/>
    <w:lvlOverride w:ilvl="1">
      <w:lvl w:ilvl="1">
        <w:numFmt w:val="bullet"/>
        <w:lvlText w:val=""/>
        <w:lvlJc w:val="left"/>
        <w:pPr>
          <w:tabs>
            <w:tab w:val="num" w:pos="1440"/>
          </w:tabs>
          <w:ind w:left="1440" w:hanging="360"/>
        </w:pPr>
        <w:rPr>
          <w:rFonts w:ascii="Symbol" w:hAnsi="Symbol" w:hint="default"/>
          <w:sz w:val="20"/>
        </w:rPr>
      </w:lvl>
    </w:lvlOverride>
  </w:num>
  <w:num w:numId="162" w16cid:durableId="1414937189">
    <w:abstractNumId w:val="86"/>
    <w:lvlOverride w:ilvl="1">
      <w:lvl w:ilvl="1">
        <w:numFmt w:val="bullet"/>
        <w:lvlText w:val=""/>
        <w:lvlJc w:val="left"/>
        <w:pPr>
          <w:tabs>
            <w:tab w:val="num" w:pos="1440"/>
          </w:tabs>
          <w:ind w:left="1440" w:hanging="360"/>
        </w:pPr>
        <w:rPr>
          <w:rFonts w:ascii="Symbol" w:hAnsi="Symbol" w:hint="default"/>
          <w:sz w:val="20"/>
        </w:rPr>
      </w:lvl>
    </w:lvlOverride>
  </w:num>
  <w:num w:numId="163" w16cid:durableId="1617329283">
    <w:abstractNumId w:val="86"/>
    <w:lvlOverride w:ilvl="1">
      <w:lvl w:ilvl="1">
        <w:numFmt w:val="bullet"/>
        <w:lvlText w:val=""/>
        <w:lvlJc w:val="left"/>
        <w:pPr>
          <w:tabs>
            <w:tab w:val="num" w:pos="1440"/>
          </w:tabs>
          <w:ind w:left="1440" w:hanging="360"/>
        </w:pPr>
        <w:rPr>
          <w:rFonts w:ascii="Symbol" w:hAnsi="Symbol" w:hint="default"/>
          <w:sz w:val="20"/>
        </w:rPr>
      </w:lvl>
    </w:lvlOverride>
  </w:num>
  <w:num w:numId="164" w16cid:durableId="2055617735">
    <w:abstractNumId w:val="86"/>
    <w:lvlOverride w:ilvl="1">
      <w:lvl w:ilvl="1">
        <w:numFmt w:val="bullet"/>
        <w:lvlText w:val=""/>
        <w:lvlJc w:val="left"/>
        <w:pPr>
          <w:tabs>
            <w:tab w:val="num" w:pos="1440"/>
          </w:tabs>
          <w:ind w:left="1440" w:hanging="360"/>
        </w:pPr>
        <w:rPr>
          <w:rFonts w:ascii="Symbol" w:hAnsi="Symbol" w:hint="default"/>
          <w:sz w:val="20"/>
        </w:rPr>
      </w:lvl>
    </w:lvlOverride>
  </w:num>
  <w:num w:numId="165" w16cid:durableId="427698514">
    <w:abstractNumId w:val="78"/>
  </w:num>
  <w:num w:numId="166" w16cid:durableId="1801266269">
    <w:abstractNumId w:val="78"/>
    <w:lvlOverride w:ilvl="1">
      <w:lvl w:ilvl="1">
        <w:numFmt w:val="bullet"/>
        <w:lvlText w:val=""/>
        <w:lvlJc w:val="left"/>
        <w:pPr>
          <w:tabs>
            <w:tab w:val="num" w:pos="1440"/>
          </w:tabs>
          <w:ind w:left="1440" w:hanging="360"/>
        </w:pPr>
        <w:rPr>
          <w:rFonts w:ascii="Symbol" w:hAnsi="Symbol" w:hint="default"/>
          <w:sz w:val="20"/>
        </w:rPr>
      </w:lvl>
    </w:lvlOverride>
  </w:num>
  <w:num w:numId="167" w16cid:durableId="1303536798">
    <w:abstractNumId w:val="78"/>
    <w:lvlOverride w:ilvl="1">
      <w:lvl w:ilvl="1">
        <w:numFmt w:val="bullet"/>
        <w:lvlText w:val=""/>
        <w:lvlJc w:val="left"/>
        <w:pPr>
          <w:tabs>
            <w:tab w:val="num" w:pos="1440"/>
          </w:tabs>
          <w:ind w:left="1440" w:hanging="360"/>
        </w:pPr>
        <w:rPr>
          <w:rFonts w:ascii="Symbol" w:hAnsi="Symbol" w:hint="default"/>
          <w:sz w:val="20"/>
        </w:rPr>
      </w:lvl>
    </w:lvlOverride>
  </w:num>
  <w:num w:numId="168" w16cid:durableId="1791897682">
    <w:abstractNumId w:val="78"/>
    <w:lvlOverride w:ilvl="1">
      <w:lvl w:ilvl="1">
        <w:numFmt w:val="bullet"/>
        <w:lvlText w:val=""/>
        <w:lvlJc w:val="left"/>
        <w:pPr>
          <w:tabs>
            <w:tab w:val="num" w:pos="1440"/>
          </w:tabs>
          <w:ind w:left="1440" w:hanging="360"/>
        </w:pPr>
        <w:rPr>
          <w:rFonts w:ascii="Symbol" w:hAnsi="Symbol" w:hint="default"/>
          <w:sz w:val="20"/>
        </w:rPr>
      </w:lvl>
    </w:lvlOverride>
  </w:num>
  <w:num w:numId="169" w16cid:durableId="1620523809">
    <w:abstractNumId w:val="78"/>
    <w:lvlOverride w:ilvl="1">
      <w:lvl w:ilvl="1">
        <w:numFmt w:val="bullet"/>
        <w:lvlText w:val=""/>
        <w:lvlJc w:val="left"/>
        <w:pPr>
          <w:tabs>
            <w:tab w:val="num" w:pos="1440"/>
          </w:tabs>
          <w:ind w:left="1440" w:hanging="360"/>
        </w:pPr>
        <w:rPr>
          <w:rFonts w:ascii="Symbol" w:hAnsi="Symbol" w:hint="default"/>
          <w:sz w:val="20"/>
        </w:rPr>
      </w:lvl>
    </w:lvlOverride>
  </w:num>
  <w:num w:numId="170" w16cid:durableId="2707405">
    <w:abstractNumId w:val="78"/>
    <w:lvlOverride w:ilvl="1">
      <w:lvl w:ilvl="1">
        <w:numFmt w:val="bullet"/>
        <w:lvlText w:val=""/>
        <w:lvlJc w:val="left"/>
        <w:pPr>
          <w:tabs>
            <w:tab w:val="num" w:pos="1440"/>
          </w:tabs>
          <w:ind w:left="1440" w:hanging="360"/>
        </w:pPr>
        <w:rPr>
          <w:rFonts w:ascii="Symbol" w:hAnsi="Symbol" w:hint="default"/>
          <w:sz w:val="20"/>
        </w:rPr>
      </w:lvl>
    </w:lvlOverride>
  </w:num>
  <w:num w:numId="171" w16cid:durableId="1649554456">
    <w:abstractNumId w:val="64"/>
  </w:num>
  <w:num w:numId="172" w16cid:durableId="100223376">
    <w:abstractNumId w:val="64"/>
    <w:lvlOverride w:ilvl="1">
      <w:lvl w:ilvl="1">
        <w:numFmt w:val="bullet"/>
        <w:lvlText w:val=""/>
        <w:lvlJc w:val="left"/>
        <w:pPr>
          <w:tabs>
            <w:tab w:val="num" w:pos="1440"/>
          </w:tabs>
          <w:ind w:left="1440" w:hanging="360"/>
        </w:pPr>
        <w:rPr>
          <w:rFonts w:ascii="Symbol" w:hAnsi="Symbol" w:hint="default"/>
          <w:sz w:val="20"/>
        </w:rPr>
      </w:lvl>
    </w:lvlOverride>
  </w:num>
  <w:num w:numId="173" w16cid:durableId="2119332115">
    <w:abstractNumId w:val="64"/>
    <w:lvlOverride w:ilvl="1">
      <w:lvl w:ilvl="1">
        <w:numFmt w:val="bullet"/>
        <w:lvlText w:val=""/>
        <w:lvlJc w:val="left"/>
        <w:pPr>
          <w:tabs>
            <w:tab w:val="num" w:pos="1440"/>
          </w:tabs>
          <w:ind w:left="1440" w:hanging="360"/>
        </w:pPr>
        <w:rPr>
          <w:rFonts w:ascii="Symbol" w:hAnsi="Symbol" w:hint="default"/>
          <w:sz w:val="20"/>
        </w:rPr>
      </w:lvl>
    </w:lvlOverride>
  </w:num>
  <w:num w:numId="174" w16cid:durableId="176316843">
    <w:abstractNumId w:val="64"/>
    <w:lvlOverride w:ilvl="1">
      <w:lvl w:ilvl="1">
        <w:numFmt w:val="bullet"/>
        <w:lvlText w:val=""/>
        <w:lvlJc w:val="left"/>
        <w:pPr>
          <w:tabs>
            <w:tab w:val="num" w:pos="1440"/>
          </w:tabs>
          <w:ind w:left="1440" w:hanging="360"/>
        </w:pPr>
        <w:rPr>
          <w:rFonts w:ascii="Symbol" w:hAnsi="Symbol" w:hint="default"/>
          <w:sz w:val="20"/>
        </w:rPr>
      </w:lvl>
    </w:lvlOverride>
  </w:num>
  <w:num w:numId="175" w16cid:durableId="1453983273">
    <w:abstractNumId w:val="64"/>
    <w:lvlOverride w:ilvl="1">
      <w:lvl w:ilvl="1">
        <w:numFmt w:val="bullet"/>
        <w:lvlText w:val=""/>
        <w:lvlJc w:val="left"/>
        <w:pPr>
          <w:tabs>
            <w:tab w:val="num" w:pos="1440"/>
          </w:tabs>
          <w:ind w:left="1440" w:hanging="360"/>
        </w:pPr>
        <w:rPr>
          <w:rFonts w:ascii="Symbol" w:hAnsi="Symbol" w:hint="default"/>
          <w:sz w:val="20"/>
        </w:rPr>
      </w:lvl>
    </w:lvlOverride>
  </w:num>
  <w:num w:numId="176" w16cid:durableId="1421023253">
    <w:abstractNumId w:val="64"/>
    <w:lvlOverride w:ilvl="1">
      <w:lvl w:ilvl="1">
        <w:numFmt w:val="bullet"/>
        <w:lvlText w:val=""/>
        <w:lvlJc w:val="left"/>
        <w:pPr>
          <w:tabs>
            <w:tab w:val="num" w:pos="1440"/>
          </w:tabs>
          <w:ind w:left="1440" w:hanging="360"/>
        </w:pPr>
        <w:rPr>
          <w:rFonts w:ascii="Symbol" w:hAnsi="Symbol" w:hint="default"/>
          <w:sz w:val="20"/>
        </w:rPr>
      </w:lvl>
    </w:lvlOverride>
  </w:num>
  <w:num w:numId="177" w16cid:durableId="742801807">
    <w:abstractNumId w:val="56"/>
  </w:num>
  <w:num w:numId="178" w16cid:durableId="1239286290">
    <w:abstractNumId w:val="102"/>
  </w:num>
  <w:num w:numId="179" w16cid:durableId="1681548124">
    <w:abstractNumId w:val="61"/>
  </w:num>
  <w:num w:numId="180" w16cid:durableId="1360204183">
    <w:abstractNumId w:val="61"/>
    <w:lvlOverride w:ilvl="1">
      <w:lvl w:ilvl="1">
        <w:numFmt w:val="bullet"/>
        <w:lvlText w:val=""/>
        <w:lvlJc w:val="left"/>
        <w:pPr>
          <w:tabs>
            <w:tab w:val="num" w:pos="1440"/>
          </w:tabs>
          <w:ind w:left="1440" w:hanging="360"/>
        </w:pPr>
        <w:rPr>
          <w:rFonts w:ascii="Symbol" w:hAnsi="Symbol" w:hint="default"/>
          <w:sz w:val="20"/>
        </w:rPr>
      </w:lvl>
    </w:lvlOverride>
  </w:num>
  <w:num w:numId="181" w16cid:durableId="1241670161">
    <w:abstractNumId w:val="61"/>
    <w:lvlOverride w:ilvl="1">
      <w:lvl w:ilvl="1">
        <w:numFmt w:val="bullet"/>
        <w:lvlText w:val=""/>
        <w:lvlJc w:val="left"/>
        <w:pPr>
          <w:tabs>
            <w:tab w:val="num" w:pos="1440"/>
          </w:tabs>
          <w:ind w:left="1440" w:hanging="360"/>
        </w:pPr>
        <w:rPr>
          <w:rFonts w:ascii="Symbol" w:hAnsi="Symbol" w:hint="default"/>
          <w:sz w:val="20"/>
        </w:rPr>
      </w:lvl>
    </w:lvlOverride>
  </w:num>
  <w:num w:numId="182" w16cid:durableId="974289391">
    <w:abstractNumId w:val="61"/>
    <w:lvlOverride w:ilvl="1">
      <w:lvl w:ilvl="1">
        <w:numFmt w:val="bullet"/>
        <w:lvlText w:val=""/>
        <w:lvlJc w:val="left"/>
        <w:pPr>
          <w:tabs>
            <w:tab w:val="num" w:pos="1440"/>
          </w:tabs>
          <w:ind w:left="1440" w:hanging="360"/>
        </w:pPr>
        <w:rPr>
          <w:rFonts w:ascii="Symbol" w:hAnsi="Symbol" w:hint="default"/>
          <w:sz w:val="20"/>
        </w:rPr>
      </w:lvl>
    </w:lvlOverride>
  </w:num>
  <w:num w:numId="183" w16cid:durableId="620651224">
    <w:abstractNumId w:val="61"/>
    <w:lvlOverride w:ilvl="1">
      <w:lvl w:ilvl="1">
        <w:numFmt w:val="bullet"/>
        <w:lvlText w:val=""/>
        <w:lvlJc w:val="left"/>
        <w:pPr>
          <w:tabs>
            <w:tab w:val="num" w:pos="1440"/>
          </w:tabs>
          <w:ind w:left="1440" w:hanging="360"/>
        </w:pPr>
        <w:rPr>
          <w:rFonts w:ascii="Symbol" w:hAnsi="Symbol" w:hint="default"/>
          <w:sz w:val="20"/>
        </w:rPr>
      </w:lvl>
    </w:lvlOverride>
  </w:num>
  <w:num w:numId="184" w16cid:durableId="1733891298">
    <w:abstractNumId w:val="82"/>
  </w:num>
  <w:num w:numId="185" w16cid:durableId="272444675">
    <w:abstractNumId w:val="104"/>
  </w:num>
  <w:num w:numId="186" w16cid:durableId="44913984">
    <w:abstractNumId w:val="104"/>
    <w:lvlOverride w:ilvl="1">
      <w:lvl w:ilvl="1">
        <w:numFmt w:val="bullet"/>
        <w:lvlText w:val=""/>
        <w:lvlJc w:val="left"/>
        <w:pPr>
          <w:tabs>
            <w:tab w:val="num" w:pos="1440"/>
          </w:tabs>
          <w:ind w:left="1440" w:hanging="360"/>
        </w:pPr>
        <w:rPr>
          <w:rFonts w:ascii="Symbol" w:hAnsi="Symbol" w:hint="default"/>
          <w:sz w:val="20"/>
        </w:rPr>
      </w:lvl>
    </w:lvlOverride>
  </w:num>
  <w:num w:numId="187" w16cid:durableId="289365172">
    <w:abstractNumId w:val="104"/>
    <w:lvlOverride w:ilvl="1">
      <w:lvl w:ilvl="1">
        <w:numFmt w:val="bullet"/>
        <w:lvlText w:val=""/>
        <w:lvlJc w:val="left"/>
        <w:pPr>
          <w:tabs>
            <w:tab w:val="num" w:pos="1440"/>
          </w:tabs>
          <w:ind w:left="1440" w:hanging="360"/>
        </w:pPr>
        <w:rPr>
          <w:rFonts w:ascii="Symbol" w:hAnsi="Symbol" w:hint="default"/>
          <w:sz w:val="20"/>
        </w:rPr>
      </w:lvl>
    </w:lvlOverride>
  </w:num>
  <w:num w:numId="188" w16cid:durableId="1442333596">
    <w:abstractNumId w:val="104"/>
    <w:lvlOverride w:ilvl="1">
      <w:lvl w:ilvl="1">
        <w:numFmt w:val="bullet"/>
        <w:lvlText w:val=""/>
        <w:lvlJc w:val="left"/>
        <w:pPr>
          <w:tabs>
            <w:tab w:val="num" w:pos="1440"/>
          </w:tabs>
          <w:ind w:left="1440" w:hanging="360"/>
        </w:pPr>
        <w:rPr>
          <w:rFonts w:ascii="Symbol" w:hAnsi="Symbol" w:hint="default"/>
          <w:sz w:val="20"/>
        </w:rPr>
      </w:lvl>
    </w:lvlOverride>
  </w:num>
  <w:num w:numId="189" w16cid:durableId="798916125">
    <w:abstractNumId w:val="104"/>
    <w:lvlOverride w:ilvl="1">
      <w:lvl w:ilvl="1">
        <w:numFmt w:val="bullet"/>
        <w:lvlText w:val=""/>
        <w:lvlJc w:val="left"/>
        <w:pPr>
          <w:tabs>
            <w:tab w:val="num" w:pos="1440"/>
          </w:tabs>
          <w:ind w:left="1440" w:hanging="360"/>
        </w:pPr>
        <w:rPr>
          <w:rFonts w:ascii="Symbol" w:hAnsi="Symbol" w:hint="default"/>
          <w:sz w:val="20"/>
        </w:rPr>
      </w:lvl>
    </w:lvlOverride>
  </w:num>
  <w:num w:numId="190" w16cid:durableId="513351006">
    <w:abstractNumId w:val="87"/>
  </w:num>
  <w:num w:numId="191" w16cid:durableId="1303121591">
    <w:abstractNumId w:val="123"/>
  </w:num>
  <w:num w:numId="192" w16cid:durableId="369304423">
    <w:abstractNumId w:val="123"/>
    <w:lvlOverride w:ilvl="1">
      <w:lvl w:ilvl="1">
        <w:numFmt w:val="bullet"/>
        <w:lvlText w:val=""/>
        <w:lvlJc w:val="left"/>
        <w:pPr>
          <w:tabs>
            <w:tab w:val="num" w:pos="1440"/>
          </w:tabs>
          <w:ind w:left="1440" w:hanging="360"/>
        </w:pPr>
        <w:rPr>
          <w:rFonts w:ascii="Symbol" w:hAnsi="Symbol" w:hint="default"/>
          <w:sz w:val="20"/>
        </w:rPr>
      </w:lvl>
    </w:lvlOverride>
  </w:num>
  <w:num w:numId="193" w16cid:durableId="648705589">
    <w:abstractNumId w:val="123"/>
    <w:lvlOverride w:ilvl="1">
      <w:lvl w:ilvl="1">
        <w:numFmt w:val="bullet"/>
        <w:lvlText w:val=""/>
        <w:lvlJc w:val="left"/>
        <w:pPr>
          <w:tabs>
            <w:tab w:val="num" w:pos="1440"/>
          </w:tabs>
          <w:ind w:left="1440" w:hanging="360"/>
        </w:pPr>
        <w:rPr>
          <w:rFonts w:ascii="Symbol" w:hAnsi="Symbol" w:hint="default"/>
          <w:sz w:val="20"/>
        </w:rPr>
      </w:lvl>
    </w:lvlOverride>
  </w:num>
  <w:num w:numId="194" w16cid:durableId="954482879">
    <w:abstractNumId w:val="123"/>
    <w:lvlOverride w:ilvl="1">
      <w:lvl w:ilvl="1">
        <w:numFmt w:val="bullet"/>
        <w:lvlText w:val=""/>
        <w:lvlJc w:val="left"/>
        <w:pPr>
          <w:tabs>
            <w:tab w:val="num" w:pos="1440"/>
          </w:tabs>
          <w:ind w:left="1440" w:hanging="360"/>
        </w:pPr>
        <w:rPr>
          <w:rFonts w:ascii="Symbol" w:hAnsi="Symbol" w:hint="default"/>
          <w:sz w:val="20"/>
        </w:rPr>
      </w:lvl>
    </w:lvlOverride>
  </w:num>
  <w:num w:numId="195" w16cid:durableId="1811291471">
    <w:abstractNumId w:val="123"/>
    <w:lvlOverride w:ilvl="1">
      <w:lvl w:ilvl="1">
        <w:numFmt w:val="bullet"/>
        <w:lvlText w:val=""/>
        <w:lvlJc w:val="left"/>
        <w:pPr>
          <w:tabs>
            <w:tab w:val="num" w:pos="1440"/>
          </w:tabs>
          <w:ind w:left="1440" w:hanging="360"/>
        </w:pPr>
        <w:rPr>
          <w:rFonts w:ascii="Symbol" w:hAnsi="Symbol" w:hint="default"/>
          <w:sz w:val="20"/>
        </w:rPr>
      </w:lvl>
    </w:lvlOverride>
  </w:num>
  <w:num w:numId="196" w16cid:durableId="59058694">
    <w:abstractNumId w:val="49"/>
  </w:num>
  <w:num w:numId="197" w16cid:durableId="1041441414">
    <w:abstractNumId w:val="133"/>
  </w:num>
  <w:num w:numId="198" w16cid:durableId="147988113">
    <w:abstractNumId w:val="133"/>
    <w:lvlOverride w:ilvl="1">
      <w:lvl w:ilvl="1">
        <w:numFmt w:val="bullet"/>
        <w:lvlText w:val=""/>
        <w:lvlJc w:val="left"/>
        <w:pPr>
          <w:tabs>
            <w:tab w:val="num" w:pos="1440"/>
          </w:tabs>
          <w:ind w:left="1440" w:hanging="360"/>
        </w:pPr>
        <w:rPr>
          <w:rFonts w:ascii="Symbol" w:hAnsi="Symbol" w:hint="default"/>
          <w:sz w:val="20"/>
        </w:rPr>
      </w:lvl>
    </w:lvlOverride>
  </w:num>
  <w:num w:numId="199" w16cid:durableId="169563279">
    <w:abstractNumId w:val="133"/>
    <w:lvlOverride w:ilvl="1">
      <w:lvl w:ilvl="1">
        <w:numFmt w:val="bullet"/>
        <w:lvlText w:val=""/>
        <w:lvlJc w:val="left"/>
        <w:pPr>
          <w:tabs>
            <w:tab w:val="num" w:pos="1440"/>
          </w:tabs>
          <w:ind w:left="1440" w:hanging="360"/>
        </w:pPr>
        <w:rPr>
          <w:rFonts w:ascii="Symbol" w:hAnsi="Symbol" w:hint="default"/>
          <w:sz w:val="20"/>
        </w:rPr>
      </w:lvl>
    </w:lvlOverride>
  </w:num>
  <w:num w:numId="200" w16cid:durableId="1040711749">
    <w:abstractNumId w:val="133"/>
    <w:lvlOverride w:ilvl="1">
      <w:lvl w:ilvl="1">
        <w:numFmt w:val="bullet"/>
        <w:lvlText w:val=""/>
        <w:lvlJc w:val="left"/>
        <w:pPr>
          <w:tabs>
            <w:tab w:val="num" w:pos="1440"/>
          </w:tabs>
          <w:ind w:left="1440" w:hanging="360"/>
        </w:pPr>
        <w:rPr>
          <w:rFonts w:ascii="Symbol" w:hAnsi="Symbol" w:hint="default"/>
          <w:sz w:val="20"/>
        </w:rPr>
      </w:lvl>
    </w:lvlOverride>
  </w:num>
  <w:num w:numId="201" w16cid:durableId="139467977">
    <w:abstractNumId w:val="150"/>
  </w:num>
  <w:num w:numId="202" w16cid:durableId="7948854">
    <w:abstractNumId w:val="21"/>
  </w:num>
  <w:num w:numId="203" w16cid:durableId="2070418061">
    <w:abstractNumId w:val="89"/>
  </w:num>
  <w:num w:numId="204" w16cid:durableId="1163858619">
    <w:abstractNumId w:val="89"/>
    <w:lvlOverride w:ilvl="1">
      <w:lvl w:ilvl="1">
        <w:numFmt w:val="bullet"/>
        <w:lvlText w:val=""/>
        <w:lvlJc w:val="left"/>
        <w:pPr>
          <w:tabs>
            <w:tab w:val="num" w:pos="1440"/>
          </w:tabs>
          <w:ind w:left="1440" w:hanging="360"/>
        </w:pPr>
        <w:rPr>
          <w:rFonts w:ascii="Symbol" w:hAnsi="Symbol" w:hint="default"/>
          <w:sz w:val="20"/>
        </w:rPr>
      </w:lvl>
    </w:lvlOverride>
  </w:num>
  <w:num w:numId="205" w16cid:durableId="1609001989">
    <w:abstractNumId w:val="89"/>
    <w:lvlOverride w:ilvl="1">
      <w:lvl w:ilvl="1">
        <w:numFmt w:val="bullet"/>
        <w:lvlText w:val=""/>
        <w:lvlJc w:val="left"/>
        <w:pPr>
          <w:tabs>
            <w:tab w:val="num" w:pos="1440"/>
          </w:tabs>
          <w:ind w:left="1440" w:hanging="360"/>
        </w:pPr>
        <w:rPr>
          <w:rFonts w:ascii="Symbol" w:hAnsi="Symbol" w:hint="default"/>
          <w:sz w:val="20"/>
        </w:rPr>
      </w:lvl>
    </w:lvlOverride>
  </w:num>
  <w:num w:numId="206" w16cid:durableId="415784706">
    <w:abstractNumId w:val="89"/>
    <w:lvlOverride w:ilvl="1">
      <w:lvl w:ilvl="1">
        <w:numFmt w:val="bullet"/>
        <w:lvlText w:val=""/>
        <w:lvlJc w:val="left"/>
        <w:pPr>
          <w:tabs>
            <w:tab w:val="num" w:pos="1440"/>
          </w:tabs>
          <w:ind w:left="1440" w:hanging="360"/>
        </w:pPr>
        <w:rPr>
          <w:rFonts w:ascii="Symbol" w:hAnsi="Symbol" w:hint="default"/>
          <w:sz w:val="20"/>
        </w:rPr>
      </w:lvl>
    </w:lvlOverride>
  </w:num>
  <w:num w:numId="207" w16cid:durableId="565262771">
    <w:abstractNumId w:val="89"/>
    <w:lvlOverride w:ilvl="1">
      <w:lvl w:ilvl="1">
        <w:numFmt w:val="bullet"/>
        <w:lvlText w:val=""/>
        <w:lvlJc w:val="left"/>
        <w:pPr>
          <w:tabs>
            <w:tab w:val="num" w:pos="1440"/>
          </w:tabs>
          <w:ind w:left="1440" w:hanging="360"/>
        </w:pPr>
        <w:rPr>
          <w:rFonts w:ascii="Symbol" w:hAnsi="Symbol" w:hint="default"/>
          <w:sz w:val="20"/>
        </w:rPr>
      </w:lvl>
    </w:lvlOverride>
  </w:num>
  <w:num w:numId="208" w16cid:durableId="41027077">
    <w:abstractNumId w:val="89"/>
    <w:lvlOverride w:ilvl="1">
      <w:lvl w:ilvl="1">
        <w:numFmt w:val="bullet"/>
        <w:lvlText w:val=""/>
        <w:lvlJc w:val="left"/>
        <w:pPr>
          <w:tabs>
            <w:tab w:val="num" w:pos="1440"/>
          </w:tabs>
          <w:ind w:left="1440" w:hanging="360"/>
        </w:pPr>
        <w:rPr>
          <w:rFonts w:ascii="Symbol" w:hAnsi="Symbol" w:hint="default"/>
          <w:sz w:val="20"/>
        </w:rPr>
      </w:lvl>
    </w:lvlOverride>
  </w:num>
  <w:num w:numId="209" w16cid:durableId="1665283547">
    <w:abstractNumId w:val="176"/>
  </w:num>
  <w:num w:numId="210" w16cid:durableId="568421485">
    <w:abstractNumId w:val="99"/>
  </w:num>
  <w:num w:numId="211" w16cid:durableId="693850245">
    <w:abstractNumId w:val="99"/>
    <w:lvlOverride w:ilvl="1">
      <w:lvl w:ilvl="1">
        <w:numFmt w:val="bullet"/>
        <w:lvlText w:val=""/>
        <w:lvlJc w:val="left"/>
        <w:pPr>
          <w:tabs>
            <w:tab w:val="num" w:pos="1440"/>
          </w:tabs>
          <w:ind w:left="1440" w:hanging="360"/>
        </w:pPr>
        <w:rPr>
          <w:rFonts w:ascii="Symbol" w:hAnsi="Symbol" w:hint="default"/>
          <w:sz w:val="20"/>
        </w:rPr>
      </w:lvl>
    </w:lvlOverride>
  </w:num>
  <w:num w:numId="212" w16cid:durableId="1397969249">
    <w:abstractNumId w:val="99"/>
    <w:lvlOverride w:ilvl="1">
      <w:lvl w:ilvl="1">
        <w:numFmt w:val="bullet"/>
        <w:lvlText w:val=""/>
        <w:lvlJc w:val="left"/>
        <w:pPr>
          <w:tabs>
            <w:tab w:val="num" w:pos="1440"/>
          </w:tabs>
          <w:ind w:left="1440" w:hanging="360"/>
        </w:pPr>
        <w:rPr>
          <w:rFonts w:ascii="Symbol" w:hAnsi="Symbol" w:hint="default"/>
          <w:sz w:val="20"/>
        </w:rPr>
      </w:lvl>
    </w:lvlOverride>
  </w:num>
  <w:num w:numId="213" w16cid:durableId="551425410">
    <w:abstractNumId w:val="99"/>
    <w:lvlOverride w:ilvl="1">
      <w:lvl w:ilvl="1">
        <w:numFmt w:val="bullet"/>
        <w:lvlText w:val=""/>
        <w:lvlJc w:val="left"/>
        <w:pPr>
          <w:tabs>
            <w:tab w:val="num" w:pos="1440"/>
          </w:tabs>
          <w:ind w:left="1440" w:hanging="360"/>
        </w:pPr>
        <w:rPr>
          <w:rFonts w:ascii="Symbol" w:hAnsi="Symbol" w:hint="default"/>
          <w:sz w:val="20"/>
        </w:rPr>
      </w:lvl>
    </w:lvlOverride>
  </w:num>
  <w:num w:numId="214" w16cid:durableId="1525053179">
    <w:abstractNumId w:val="180"/>
  </w:num>
  <w:num w:numId="215" w16cid:durableId="362941034">
    <w:abstractNumId w:val="92"/>
  </w:num>
  <w:num w:numId="216" w16cid:durableId="1515801284">
    <w:abstractNumId w:val="92"/>
    <w:lvlOverride w:ilvl="1">
      <w:lvl w:ilvl="1">
        <w:numFmt w:val="bullet"/>
        <w:lvlText w:val=""/>
        <w:lvlJc w:val="left"/>
        <w:pPr>
          <w:tabs>
            <w:tab w:val="num" w:pos="1440"/>
          </w:tabs>
          <w:ind w:left="1440" w:hanging="360"/>
        </w:pPr>
        <w:rPr>
          <w:rFonts w:ascii="Symbol" w:hAnsi="Symbol" w:hint="default"/>
          <w:sz w:val="20"/>
        </w:rPr>
      </w:lvl>
    </w:lvlOverride>
  </w:num>
  <w:num w:numId="217" w16cid:durableId="1033193646">
    <w:abstractNumId w:val="92"/>
    <w:lvlOverride w:ilvl="1">
      <w:lvl w:ilvl="1">
        <w:numFmt w:val="bullet"/>
        <w:lvlText w:val=""/>
        <w:lvlJc w:val="left"/>
        <w:pPr>
          <w:tabs>
            <w:tab w:val="num" w:pos="1440"/>
          </w:tabs>
          <w:ind w:left="1440" w:hanging="360"/>
        </w:pPr>
        <w:rPr>
          <w:rFonts w:ascii="Symbol" w:hAnsi="Symbol" w:hint="default"/>
          <w:sz w:val="20"/>
        </w:rPr>
      </w:lvl>
    </w:lvlOverride>
  </w:num>
  <w:num w:numId="218" w16cid:durableId="1830904840">
    <w:abstractNumId w:val="92"/>
    <w:lvlOverride w:ilvl="1">
      <w:lvl w:ilvl="1">
        <w:numFmt w:val="bullet"/>
        <w:lvlText w:val=""/>
        <w:lvlJc w:val="left"/>
        <w:pPr>
          <w:tabs>
            <w:tab w:val="num" w:pos="1440"/>
          </w:tabs>
          <w:ind w:left="1440" w:hanging="360"/>
        </w:pPr>
        <w:rPr>
          <w:rFonts w:ascii="Symbol" w:hAnsi="Symbol" w:hint="default"/>
          <w:sz w:val="20"/>
        </w:rPr>
      </w:lvl>
    </w:lvlOverride>
  </w:num>
  <w:num w:numId="219" w16cid:durableId="1974671020">
    <w:abstractNumId w:val="92"/>
    <w:lvlOverride w:ilvl="1">
      <w:lvl w:ilvl="1">
        <w:numFmt w:val="bullet"/>
        <w:lvlText w:val=""/>
        <w:lvlJc w:val="left"/>
        <w:pPr>
          <w:tabs>
            <w:tab w:val="num" w:pos="1440"/>
          </w:tabs>
          <w:ind w:left="1440" w:hanging="360"/>
        </w:pPr>
        <w:rPr>
          <w:rFonts w:ascii="Symbol" w:hAnsi="Symbol" w:hint="default"/>
          <w:sz w:val="20"/>
        </w:rPr>
      </w:lvl>
    </w:lvlOverride>
  </w:num>
  <w:num w:numId="220" w16cid:durableId="1044603297">
    <w:abstractNumId w:val="88"/>
  </w:num>
  <w:num w:numId="221" w16cid:durableId="468716332">
    <w:abstractNumId w:val="52"/>
  </w:num>
  <w:num w:numId="222" w16cid:durableId="471951206">
    <w:abstractNumId w:val="52"/>
    <w:lvlOverride w:ilvl="1">
      <w:lvl w:ilvl="1">
        <w:numFmt w:val="bullet"/>
        <w:lvlText w:val=""/>
        <w:lvlJc w:val="left"/>
        <w:pPr>
          <w:tabs>
            <w:tab w:val="num" w:pos="1440"/>
          </w:tabs>
          <w:ind w:left="1440" w:hanging="360"/>
        </w:pPr>
        <w:rPr>
          <w:rFonts w:ascii="Symbol" w:hAnsi="Symbol" w:hint="default"/>
          <w:sz w:val="20"/>
        </w:rPr>
      </w:lvl>
    </w:lvlOverride>
  </w:num>
  <w:num w:numId="223" w16cid:durableId="2101218557">
    <w:abstractNumId w:val="52"/>
    <w:lvlOverride w:ilvl="1">
      <w:lvl w:ilvl="1">
        <w:numFmt w:val="bullet"/>
        <w:lvlText w:val=""/>
        <w:lvlJc w:val="left"/>
        <w:pPr>
          <w:tabs>
            <w:tab w:val="num" w:pos="1440"/>
          </w:tabs>
          <w:ind w:left="1440" w:hanging="360"/>
        </w:pPr>
        <w:rPr>
          <w:rFonts w:ascii="Symbol" w:hAnsi="Symbol" w:hint="default"/>
          <w:sz w:val="20"/>
        </w:rPr>
      </w:lvl>
    </w:lvlOverride>
  </w:num>
  <w:num w:numId="224" w16cid:durableId="1387601688">
    <w:abstractNumId w:val="52"/>
    <w:lvlOverride w:ilvl="1">
      <w:lvl w:ilvl="1">
        <w:numFmt w:val="bullet"/>
        <w:lvlText w:val=""/>
        <w:lvlJc w:val="left"/>
        <w:pPr>
          <w:tabs>
            <w:tab w:val="num" w:pos="1440"/>
          </w:tabs>
          <w:ind w:left="1440" w:hanging="360"/>
        </w:pPr>
        <w:rPr>
          <w:rFonts w:ascii="Symbol" w:hAnsi="Symbol" w:hint="default"/>
          <w:sz w:val="20"/>
        </w:rPr>
      </w:lvl>
    </w:lvlOverride>
  </w:num>
  <w:num w:numId="225" w16cid:durableId="1594432836">
    <w:abstractNumId w:val="36"/>
  </w:num>
  <w:num w:numId="226" w16cid:durableId="619383421">
    <w:abstractNumId w:val="152"/>
  </w:num>
  <w:num w:numId="227" w16cid:durableId="1717704598">
    <w:abstractNumId w:val="152"/>
    <w:lvlOverride w:ilvl="1">
      <w:lvl w:ilvl="1">
        <w:numFmt w:val="bullet"/>
        <w:lvlText w:val=""/>
        <w:lvlJc w:val="left"/>
        <w:pPr>
          <w:tabs>
            <w:tab w:val="num" w:pos="1440"/>
          </w:tabs>
          <w:ind w:left="1440" w:hanging="360"/>
        </w:pPr>
        <w:rPr>
          <w:rFonts w:ascii="Symbol" w:hAnsi="Symbol" w:hint="default"/>
          <w:sz w:val="20"/>
        </w:rPr>
      </w:lvl>
    </w:lvlOverride>
  </w:num>
  <w:num w:numId="228" w16cid:durableId="1352099763">
    <w:abstractNumId w:val="152"/>
    <w:lvlOverride w:ilvl="1">
      <w:lvl w:ilvl="1">
        <w:numFmt w:val="bullet"/>
        <w:lvlText w:val=""/>
        <w:lvlJc w:val="left"/>
        <w:pPr>
          <w:tabs>
            <w:tab w:val="num" w:pos="1440"/>
          </w:tabs>
          <w:ind w:left="1440" w:hanging="360"/>
        </w:pPr>
        <w:rPr>
          <w:rFonts w:ascii="Symbol" w:hAnsi="Symbol" w:hint="default"/>
          <w:sz w:val="20"/>
        </w:rPr>
      </w:lvl>
    </w:lvlOverride>
  </w:num>
  <w:num w:numId="229" w16cid:durableId="1555850847">
    <w:abstractNumId w:val="152"/>
    <w:lvlOverride w:ilvl="1">
      <w:lvl w:ilvl="1">
        <w:numFmt w:val="bullet"/>
        <w:lvlText w:val=""/>
        <w:lvlJc w:val="left"/>
        <w:pPr>
          <w:tabs>
            <w:tab w:val="num" w:pos="1440"/>
          </w:tabs>
          <w:ind w:left="1440" w:hanging="360"/>
        </w:pPr>
        <w:rPr>
          <w:rFonts w:ascii="Symbol" w:hAnsi="Symbol" w:hint="default"/>
          <w:sz w:val="20"/>
        </w:rPr>
      </w:lvl>
    </w:lvlOverride>
  </w:num>
  <w:num w:numId="230" w16cid:durableId="2101026013">
    <w:abstractNumId w:val="158"/>
  </w:num>
  <w:num w:numId="231" w16cid:durableId="250168347">
    <w:abstractNumId w:val="167"/>
  </w:num>
  <w:num w:numId="232" w16cid:durableId="1782459583">
    <w:abstractNumId w:val="167"/>
    <w:lvlOverride w:ilvl="1">
      <w:lvl w:ilvl="1">
        <w:numFmt w:val="bullet"/>
        <w:lvlText w:val=""/>
        <w:lvlJc w:val="left"/>
        <w:pPr>
          <w:tabs>
            <w:tab w:val="num" w:pos="1440"/>
          </w:tabs>
          <w:ind w:left="1440" w:hanging="360"/>
        </w:pPr>
        <w:rPr>
          <w:rFonts w:ascii="Symbol" w:hAnsi="Symbol" w:hint="default"/>
          <w:sz w:val="20"/>
        </w:rPr>
      </w:lvl>
    </w:lvlOverride>
  </w:num>
  <w:num w:numId="233" w16cid:durableId="1125463718">
    <w:abstractNumId w:val="167"/>
    <w:lvlOverride w:ilvl="1">
      <w:lvl w:ilvl="1">
        <w:numFmt w:val="bullet"/>
        <w:lvlText w:val=""/>
        <w:lvlJc w:val="left"/>
        <w:pPr>
          <w:tabs>
            <w:tab w:val="num" w:pos="1440"/>
          </w:tabs>
          <w:ind w:left="1440" w:hanging="360"/>
        </w:pPr>
        <w:rPr>
          <w:rFonts w:ascii="Symbol" w:hAnsi="Symbol" w:hint="default"/>
          <w:sz w:val="20"/>
        </w:rPr>
      </w:lvl>
    </w:lvlOverride>
  </w:num>
  <w:num w:numId="234" w16cid:durableId="1801413697">
    <w:abstractNumId w:val="167"/>
    <w:lvlOverride w:ilvl="1">
      <w:lvl w:ilvl="1">
        <w:numFmt w:val="bullet"/>
        <w:lvlText w:val=""/>
        <w:lvlJc w:val="left"/>
        <w:pPr>
          <w:tabs>
            <w:tab w:val="num" w:pos="1440"/>
          </w:tabs>
          <w:ind w:left="1440" w:hanging="360"/>
        </w:pPr>
        <w:rPr>
          <w:rFonts w:ascii="Symbol" w:hAnsi="Symbol" w:hint="default"/>
          <w:sz w:val="20"/>
        </w:rPr>
      </w:lvl>
    </w:lvlOverride>
  </w:num>
  <w:num w:numId="235" w16cid:durableId="583800790">
    <w:abstractNumId w:val="107"/>
  </w:num>
  <w:num w:numId="236" w16cid:durableId="1349989776">
    <w:abstractNumId w:val="58"/>
  </w:num>
  <w:num w:numId="237" w16cid:durableId="1818108683">
    <w:abstractNumId w:val="58"/>
    <w:lvlOverride w:ilvl="1">
      <w:lvl w:ilvl="1">
        <w:numFmt w:val="bullet"/>
        <w:lvlText w:val=""/>
        <w:lvlJc w:val="left"/>
        <w:pPr>
          <w:tabs>
            <w:tab w:val="num" w:pos="1440"/>
          </w:tabs>
          <w:ind w:left="1440" w:hanging="360"/>
        </w:pPr>
        <w:rPr>
          <w:rFonts w:ascii="Symbol" w:hAnsi="Symbol" w:hint="default"/>
          <w:sz w:val="20"/>
        </w:rPr>
      </w:lvl>
    </w:lvlOverride>
  </w:num>
  <w:num w:numId="238" w16cid:durableId="756706445">
    <w:abstractNumId w:val="58"/>
    <w:lvlOverride w:ilvl="1">
      <w:lvl w:ilvl="1">
        <w:numFmt w:val="bullet"/>
        <w:lvlText w:val=""/>
        <w:lvlJc w:val="left"/>
        <w:pPr>
          <w:tabs>
            <w:tab w:val="num" w:pos="1440"/>
          </w:tabs>
          <w:ind w:left="1440" w:hanging="360"/>
        </w:pPr>
        <w:rPr>
          <w:rFonts w:ascii="Symbol" w:hAnsi="Symbol" w:hint="default"/>
          <w:sz w:val="20"/>
        </w:rPr>
      </w:lvl>
    </w:lvlOverride>
  </w:num>
  <w:num w:numId="239" w16cid:durableId="793715334">
    <w:abstractNumId w:val="58"/>
    <w:lvlOverride w:ilvl="1">
      <w:lvl w:ilvl="1">
        <w:numFmt w:val="bullet"/>
        <w:lvlText w:val=""/>
        <w:lvlJc w:val="left"/>
        <w:pPr>
          <w:tabs>
            <w:tab w:val="num" w:pos="1440"/>
          </w:tabs>
          <w:ind w:left="1440" w:hanging="360"/>
        </w:pPr>
        <w:rPr>
          <w:rFonts w:ascii="Symbol" w:hAnsi="Symbol" w:hint="default"/>
          <w:sz w:val="20"/>
        </w:rPr>
      </w:lvl>
    </w:lvlOverride>
  </w:num>
  <w:num w:numId="240" w16cid:durableId="627247717">
    <w:abstractNumId w:val="170"/>
  </w:num>
  <w:num w:numId="241" w16cid:durableId="359207907">
    <w:abstractNumId w:val="153"/>
  </w:num>
  <w:num w:numId="242" w16cid:durableId="982270148">
    <w:abstractNumId w:val="38"/>
  </w:num>
  <w:num w:numId="243" w16cid:durableId="1071003328">
    <w:abstractNumId w:val="138"/>
  </w:num>
  <w:num w:numId="244" w16cid:durableId="1443838652">
    <w:abstractNumId w:val="67"/>
  </w:num>
  <w:num w:numId="245" w16cid:durableId="632370615">
    <w:abstractNumId w:val="15"/>
  </w:num>
  <w:num w:numId="246" w16cid:durableId="1086806411">
    <w:abstractNumId w:val="136"/>
  </w:num>
  <w:num w:numId="247" w16cid:durableId="181676815">
    <w:abstractNumId w:val="137"/>
  </w:num>
  <w:num w:numId="248" w16cid:durableId="217322581">
    <w:abstractNumId w:val="16"/>
  </w:num>
  <w:num w:numId="249" w16cid:durableId="410391474">
    <w:abstractNumId w:val="81"/>
  </w:num>
  <w:num w:numId="250" w16cid:durableId="1508861152">
    <w:abstractNumId w:val="77"/>
  </w:num>
  <w:num w:numId="251" w16cid:durableId="482166601">
    <w:abstractNumId w:val="72"/>
  </w:num>
  <w:num w:numId="252" w16cid:durableId="21320374">
    <w:abstractNumId w:val="156"/>
  </w:num>
  <w:num w:numId="253" w16cid:durableId="889341265">
    <w:abstractNumId w:val="118"/>
  </w:num>
  <w:num w:numId="254" w16cid:durableId="1666324993">
    <w:abstractNumId w:val="165"/>
  </w:num>
  <w:num w:numId="255" w16cid:durableId="987590407">
    <w:abstractNumId w:val="119"/>
  </w:num>
  <w:num w:numId="256" w16cid:durableId="412239322">
    <w:abstractNumId w:val="60"/>
  </w:num>
  <w:num w:numId="257" w16cid:durableId="450250324">
    <w:abstractNumId w:val="11"/>
  </w:num>
  <w:num w:numId="258" w16cid:durableId="386491748">
    <w:abstractNumId w:val="124"/>
  </w:num>
  <w:num w:numId="259" w16cid:durableId="1277831667">
    <w:abstractNumId w:val="179"/>
  </w:num>
  <w:num w:numId="260" w16cid:durableId="181743278">
    <w:abstractNumId w:val="115"/>
  </w:num>
  <w:num w:numId="261" w16cid:durableId="106705552">
    <w:abstractNumId w:val="23"/>
  </w:num>
  <w:num w:numId="262" w16cid:durableId="790712426">
    <w:abstractNumId w:val="23"/>
    <w:lvlOverride w:ilvl="1">
      <w:lvl w:ilvl="1">
        <w:numFmt w:val="bullet"/>
        <w:lvlText w:val=""/>
        <w:lvlJc w:val="left"/>
        <w:pPr>
          <w:tabs>
            <w:tab w:val="num" w:pos="1440"/>
          </w:tabs>
          <w:ind w:left="1440" w:hanging="360"/>
        </w:pPr>
        <w:rPr>
          <w:rFonts w:ascii="Symbol" w:hAnsi="Symbol" w:hint="default"/>
          <w:sz w:val="20"/>
        </w:rPr>
      </w:lvl>
    </w:lvlOverride>
  </w:num>
  <w:num w:numId="263" w16cid:durableId="1887912206">
    <w:abstractNumId w:val="23"/>
    <w:lvlOverride w:ilvl="1">
      <w:lvl w:ilvl="1">
        <w:numFmt w:val="bullet"/>
        <w:lvlText w:val=""/>
        <w:lvlJc w:val="left"/>
        <w:pPr>
          <w:tabs>
            <w:tab w:val="num" w:pos="1440"/>
          </w:tabs>
          <w:ind w:left="1440" w:hanging="360"/>
        </w:pPr>
        <w:rPr>
          <w:rFonts w:ascii="Symbol" w:hAnsi="Symbol" w:hint="default"/>
          <w:sz w:val="20"/>
        </w:rPr>
      </w:lvl>
    </w:lvlOverride>
  </w:num>
  <w:num w:numId="264" w16cid:durableId="738402633">
    <w:abstractNumId w:val="23"/>
    <w:lvlOverride w:ilvl="1">
      <w:lvl w:ilvl="1">
        <w:numFmt w:val="bullet"/>
        <w:lvlText w:val=""/>
        <w:lvlJc w:val="left"/>
        <w:pPr>
          <w:tabs>
            <w:tab w:val="num" w:pos="1440"/>
          </w:tabs>
          <w:ind w:left="1440" w:hanging="360"/>
        </w:pPr>
        <w:rPr>
          <w:rFonts w:ascii="Symbol" w:hAnsi="Symbol" w:hint="default"/>
          <w:sz w:val="20"/>
        </w:rPr>
      </w:lvl>
    </w:lvlOverride>
  </w:num>
  <w:num w:numId="265" w16cid:durableId="2107575250">
    <w:abstractNumId w:val="23"/>
    <w:lvlOverride w:ilvl="1">
      <w:lvl w:ilvl="1">
        <w:numFmt w:val="bullet"/>
        <w:lvlText w:val=""/>
        <w:lvlJc w:val="left"/>
        <w:pPr>
          <w:tabs>
            <w:tab w:val="num" w:pos="1440"/>
          </w:tabs>
          <w:ind w:left="1440" w:hanging="360"/>
        </w:pPr>
        <w:rPr>
          <w:rFonts w:ascii="Symbol" w:hAnsi="Symbol" w:hint="default"/>
          <w:sz w:val="20"/>
        </w:rPr>
      </w:lvl>
    </w:lvlOverride>
  </w:num>
  <w:num w:numId="266" w16cid:durableId="823593323">
    <w:abstractNumId w:val="47"/>
  </w:num>
  <w:num w:numId="267" w16cid:durableId="1240674922">
    <w:abstractNumId w:val="5"/>
  </w:num>
  <w:num w:numId="268" w16cid:durableId="1340934208">
    <w:abstractNumId w:val="90"/>
  </w:num>
  <w:num w:numId="269" w16cid:durableId="1472089826">
    <w:abstractNumId w:val="90"/>
    <w:lvlOverride w:ilvl="1">
      <w:lvl w:ilvl="1">
        <w:numFmt w:val="bullet"/>
        <w:lvlText w:val=""/>
        <w:lvlJc w:val="left"/>
        <w:pPr>
          <w:tabs>
            <w:tab w:val="num" w:pos="1440"/>
          </w:tabs>
          <w:ind w:left="1440" w:hanging="360"/>
        </w:pPr>
        <w:rPr>
          <w:rFonts w:ascii="Symbol" w:hAnsi="Symbol" w:hint="default"/>
          <w:sz w:val="20"/>
        </w:rPr>
      </w:lvl>
    </w:lvlOverride>
  </w:num>
  <w:num w:numId="270" w16cid:durableId="2029285721">
    <w:abstractNumId w:val="90"/>
    <w:lvlOverride w:ilvl="1">
      <w:lvl w:ilvl="1">
        <w:numFmt w:val="bullet"/>
        <w:lvlText w:val=""/>
        <w:lvlJc w:val="left"/>
        <w:pPr>
          <w:tabs>
            <w:tab w:val="num" w:pos="1440"/>
          </w:tabs>
          <w:ind w:left="1440" w:hanging="360"/>
        </w:pPr>
        <w:rPr>
          <w:rFonts w:ascii="Symbol" w:hAnsi="Symbol" w:hint="default"/>
          <w:sz w:val="20"/>
        </w:rPr>
      </w:lvl>
    </w:lvlOverride>
  </w:num>
  <w:num w:numId="271" w16cid:durableId="1934895410">
    <w:abstractNumId w:val="90"/>
    <w:lvlOverride w:ilvl="1">
      <w:lvl w:ilvl="1">
        <w:numFmt w:val="bullet"/>
        <w:lvlText w:val=""/>
        <w:lvlJc w:val="left"/>
        <w:pPr>
          <w:tabs>
            <w:tab w:val="num" w:pos="1440"/>
          </w:tabs>
          <w:ind w:left="1440" w:hanging="360"/>
        </w:pPr>
        <w:rPr>
          <w:rFonts w:ascii="Symbol" w:hAnsi="Symbol" w:hint="default"/>
          <w:sz w:val="20"/>
        </w:rPr>
      </w:lvl>
    </w:lvlOverride>
  </w:num>
  <w:num w:numId="272" w16cid:durableId="1812673012">
    <w:abstractNumId w:val="90"/>
    <w:lvlOverride w:ilvl="1">
      <w:lvl w:ilvl="1">
        <w:numFmt w:val="bullet"/>
        <w:lvlText w:val=""/>
        <w:lvlJc w:val="left"/>
        <w:pPr>
          <w:tabs>
            <w:tab w:val="num" w:pos="1440"/>
          </w:tabs>
          <w:ind w:left="1440" w:hanging="360"/>
        </w:pPr>
        <w:rPr>
          <w:rFonts w:ascii="Symbol" w:hAnsi="Symbol" w:hint="default"/>
          <w:sz w:val="20"/>
        </w:rPr>
      </w:lvl>
    </w:lvlOverride>
  </w:num>
  <w:num w:numId="273" w16cid:durableId="96410978">
    <w:abstractNumId w:val="90"/>
    <w:lvlOverride w:ilvl="1">
      <w:lvl w:ilvl="1">
        <w:numFmt w:val="bullet"/>
        <w:lvlText w:val=""/>
        <w:lvlJc w:val="left"/>
        <w:pPr>
          <w:tabs>
            <w:tab w:val="num" w:pos="1440"/>
          </w:tabs>
          <w:ind w:left="1440" w:hanging="360"/>
        </w:pPr>
        <w:rPr>
          <w:rFonts w:ascii="Symbol" w:hAnsi="Symbol" w:hint="default"/>
          <w:sz w:val="20"/>
        </w:rPr>
      </w:lvl>
    </w:lvlOverride>
  </w:num>
  <w:num w:numId="274" w16cid:durableId="1810394334">
    <w:abstractNumId w:val="90"/>
    <w:lvlOverride w:ilvl="1">
      <w:lvl w:ilvl="1">
        <w:numFmt w:val="bullet"/>
        <w:lvlText w:val=""/>
        <w:lvlJc w:val="left"/>
        <w:pPr>
          <w:tabs>
            <w:tab w:val="num" w:pos="1440"/>
          </w:tabs>
          <w:ind w:left="1440" w:hanging="360"/>
        </w:pPr>
        <w:rPr>
          <w:rFonts w:ascii="Symbol" w:hAnsi="Symbol" w:hint="default"/>
          <w:sz w:val="20"/>
        </w:rPr>
      </w:lvl>
    </w:lvlOverride>
  </w:num>
  <w:num w:numId="275" w16cid:durableId="579678556">
    <w:abstractNumId w:val="90"/>
    <w:lvlOverride w:ilvl="1">
      <w:lvl w:ilvl="1">
        <w:numFmt w:val="bullet"/>
        <w:lvlText w:val=""/>
        <w:lvlJc w:val="left"/>
        <w:pPr>
          <w:tabs>
            <w:tab w:val="num" w:pos="1440"/>
          </w:tabs>
          <w:ind w:left="1440" w:hanging="360"/>
        </w:pPr>
        <w:rPr>
          <w:rFonts w:ascii="Symbol" w:hAnsi="Symbol" w:hint="default"/>
          <w:sz w:val="20"/>
        </w:rPr>
      </w:lvl>
    </w:lvlOverride>
  </w:num>
  <w:num w:numId="276" w16cid:durableId="348602110">
    <w:abstractNumId w:val="90"/>
    <w:lvlOverride w:ilvl="1">
      <w:lvl w:ilvl="1">
        <w:numFmt w:val="bullet"/>
        <w:lvlText w:val=""/>
        <w:lvlJc w:val="left"/>
        <w:pPr>
          <w:tabs>
            <w:tab w:val="num" w:pos="1440"/>
          </w:tabs>
          <w:ind w:left="1440" w:hanging="360"/>
        </w:pPr>
        <w:rPr>
          <w:rFonts w:ascii="Symbol" w:hAnsi="Symbol" w:hint="default"/>
          <w:sz w:val="20"/>
        </w:rPr>
      </w:lvl>
    </w:lvlOverride>
  </w:num>
  <w:num w:numId="277" w16cid:durableId="1005135674">
    <w:abstractNumId w:val="90"/>
    <w:lvlOverride w:ilvl="1">
      <w:lvl w:ilvl="1">
        <w:numFmt w:val="bullet"/>
        <w:lvlText w:val=""/>
        <w:lvlJc w:val="left"/>
        <w:pPr>
          <w:tabs>
            <w:tab w:val="num" w:pos="1440"/>
          </w:tabs>
          <w:ind w:left="1440" w:hanging="360"/>
        </w:pPr>
        <w:rPr>
          <w:rFonts w:ascii="Symbol" w:hAnsi="Symbol" w:hint="default"/>
          <w:sz w:val="20"/>
        </w:rPr>
      </w:lvl>
    </w:lvlOverride>
  </w:num>
  <w:num w:numId="278" w16cid:durableId="1495802818">
    <w:abstractNumId w:val="90"/>
    <w:lvlOverride w:ilvl="1">
      <w:lvl w:ilvl="1">
        <w:numFmt w:val="bullet"/>
        <w:lvlText w:val=""/>
        <w:lvlJc w:val="left"/>
        <w:pPr>
          <w:tabs>
            <w:tab w:val="num" w:pos="1440"/>
          </w:tabs>
          <w:ind w:left="1440" w:hanging="360"/>
        </w:pPr>
        <w:rPr>
          <w:rFonts w:ascii="Symbol" w:hAnsi="Symbol" w:hint="default"/>
          <w:sz w:val="20"/>
        </w:rPr>
      </w:lvl>
    </w:lvlOverride>
  </w:num>
  <w:num w:numId="279" w16cid:durableId="554508757">
    <w:abstractNumId w:val="90"/>
    <w:lvlOverride w:ilvl="1">
      <w:lvl w:ilvl="1">
        <w:numFmt w:val="bullet"/>
        <w:lvlText w:val=""/>
        <w:lvlJc w:val="left"/>
        <w:pPr>
          <w:tabs>
            <w:tab w:val="num" w:pos="1440"/>
          </w:tabs>
          <w:ind w:left="1440" w:hanging="360"/>
        </w:pPr>
        <w:rPr>
          <w:rFonts w:ascii="Symbol" w:hAnsi="Symbol" w:hint="default"/>
          <w:sz w:val="20"/>
        </w:rPr>
      </w:lvl>
    </w:lvlOverride>
  </w:num>
  <w:num w:numId="280" w16cid:durableId="1415130584">
    <w:abstractNumId w:val="90"/>
    <w:lvlOverride w:ilvl="1">
      <w:lvl w:ilvl="1">
        <w:numFmt w:val="bullet"/>
        <w:lvlText w:val=""/>
        <w:lvlJc w:val="left"/>
        <w:pPr>
          <w:tabs>
            <w:tab w:val="num" w:pos="1440"/>
          </w:tabs>
          <w:ind w:left="1440" w:hanging="360"/>
        </w:pPr>
        <w:rPr>
          <w:rFonts w:ascii="Symbol" w:hAnsi="Symbol" w:hint="default"/>
          <w:sz w:val="20"/>
        </w:rPr>
      </w:lvl>
    </w:lvlOverride>
  </w:num>
  <w:num w:numId="281" w16cid:durableId="443227847">
    <w:abstractNumId w:val="90"/>
    <w:lvlOverride w:ilvl="1">
      <w:lvl w:ilvl="1">
        <w:numFmt w:val="bullet"/>
        <w:lvlText w:val=""/>
        <w:lvlJc w:val="left"/>
        <w:pPr>
          <w:tabs>
            <w:tab w:val="num" w:pos="1440"/>
          </w:tabs>
          <w:ind w:left="1440" w:hanging="360"/>
        </w:pPr>
        <w:rPr>
          <w:rFonts w:ascii="Symbol" w:hAnsi="Symbol" w:hint="default"/>
          <w:sz w:val="20"/>
        </w:rPr>
      </w:lvl>
    </w:lvlOverride>
  </w:num>
  <w:num w:numId="282" w16cid:durableId="1133789149">
    <w:abstractNumId w:val="90"/>
    <w:lvlOverride w:ilvl="1">
      <w:lvl w:ilvl="1">
        <w:numFmt w:val="bullet"/>
        <w:lvlText w:val=""/>
        <w:lvlJc w:val="left"/>
        <w:pPr>
          <w:tabs>
            <w:tab w:val="num" w:pos="1440"/>
          </w:tabs>
          <w:ind w:left="1440" w:hanging="360"/>
        </w:pPr>
        <w:rPr>
          <w:rFonts w:ascii="Symbol" w:hAnsi="Symbol" w:hint="default"/>
          <w:sz w:val="20"/>
        </w:rPr>
      </w:lvl>
    </w:lvlOverride>
  </w:num>
  <w:num w:numId="283" w16cid:durableId="274945138">
    <w:abstractNumId w:val="93"/>
  </w:num>
  <w:num w:numId="284" w16cid:durableId="762840306">
    <w:abstractNumId w:val="142"/>
  </w:num>
  <w:num w:numId="285" w16cid:durableId="251937917">
    <w:abstractNumId w:val="54"/>
  </w:num>
  <w:num w:numId="286" w16cid:durableId="1926915069">
    <w:abstractNumId w:val="54"/>
    <w:lvlOverride w:ilvl="1">
      <w:lvl w:ilvl="1">
        <w:numFmt w:val="bullet"/>
        <w:lvlText w:val=""/>
        <w:lvlJc w:val="left"/>
        <w:pPr>
          <w:tabs>
            <w:tab w:val="num" w:pos="1440"/>
          </w:tabs>
          <w:ind w:left="1440" w:hanging="360"/>
        </w:pPr>
        <w:rPr>
          <w:rFonts w:ascii="Symbol" w:hAnsi="Symbol" w:hint="default"/>
          <w:sz w:val="20"/>
        </w:rPr>
      </w:lvl>
    </w:lvlOverride>
  </w:num>
  <w:num w:numId="287" w16cid:durableId="1927809860">
    <w:abstractNumId w:val="54"/>
    <w:lvlOverride w:ilvl="1">
      <w:lvl w:ilvl="1">
        <w:numFmt w:val="bullet"/>
        <w:lvlText w:val=""/>
        <w:lvlJc w:val="left"/>
        <w:pPr>
          <w:tabs>
            <w:tab w:val="num" w:pos="1440"/>
          </w:tabs>
          <w:ind w:left="1440" w:hanging="360"/>
        </w:pPr>
        <w:rPr>
          <w:rFonts w:ascii="Symbol" w:hAnsi="Symbol" w:hint="default"/>
          <w:sz w:val="20"/>
        </w:rPr>
      </w:lvl>
    </w:lvlOverride>
  </w:num>
  <w:num w:numId="288" w16cid:durableId="54862803">
    <w:abstractNumId w:val="54"/>
    <w:lvlOverride w:ilvl="1">
      <w:lvl w:ilvl="1">
        <w:numFmt w:val="bullet"/>
        <w:lvlText w:val=""/>
        <w:lvlJc w:val="left"/>
        <w:pPr>
          <w:tabs>
            <w:tab w:val="num" w:pos="1440"/>
          </w:tabs>
          <w:ind w:left="1440" w:hanging="360"/>
        </w:pPr>
        <w:rPr>
          <w:rFonts w:ascii="Symbol" w:hAnsi="Symbol" w:hint="default"/>
          <w:sz w:val="20"/>
        </w:rPr>
      </w:lvl>
    </w:lvlOverride>
  </w:num>
  <w:num w:numId="289" w16cid:durableId="239369486">
    <w:abstractNumId w:val="54"/>
    <w:lvlOverride w:ilvl="1">
      <w:lvl w:ilvl="1">
        <w:numFmt w:val="bullet"/>
        <w:lvlText w:val=""/>
        <w:lvlJc w:val="left"/>
        <w:pPr>
          <w:tabs>
            <w:tab w:val="num" w:pos="1440"/>
          </w:tabs>
          <w:ind w:left="1440" w:hanging="360"/>
        </w:pPr>
        <w:rPr>
          <w:rFonts w:ascii="Symbol" w:hAnsi="Symbol" w:hint="default"/>
          <w:sz w:val="20"/>
        </w:rPr>
      </w:lvl>
    </w:lvlOverride>
  </w:num>
  <w:num w:numId="290" w16cid:durableId="554465790">
    <w:abstractNumId w:val="54"/>
    <w:lvlOverride w:ilvl="1">
      <w:lvl w:ilvl="1">
        <w:numFmt w:val="bullet"/>
        <w:lvlText w:val=""/>
        <w:lvlJc w:val="left"/>
        <w:pPr>
          <w:tabs>
            <w:tab w:val="num" w:pos="1440"/>
          </w:tabs>
          <w:ind w:left="1440" w:hanging="360"/>
        </w:pPr>
        <w:rPr>
          <w:rFonts w:ascii="Symbol" w:hAnsi="Symbol" w:hint="default"/>
          <w:sz w:val="20"/>
        </w:rPr>
      </w:lvl>
    </w:lvlOverride>
  </w:num>
  <w:num w:numId="291" w16cid:durableId="434179741">
    <w:abstractNumId w:val="20"/>
  </w:num>
  <w:num w:numId="292" w16cid:durableId="1279488491">
    <w:abstractNumId w:val="122"/>
  </w:num>
  <w:num w:numId="293" w16cid:durableId="1599212073">
    <w:abstractNumId w:val="122"/>
    <w:lvlOverride w:ilvl="1">
      <w:lvl w:ilvl="1">
        <w:numFmt w:val="bullet"/>
        <w:lvlText w:val=""/>
        <w:lvlJc w:val="left"/>
        <w:pPr>
          <w:tabs>
            <w:tab w:val="num" w:pos="1440"/>
          </w:tabs>
          <w:ind w:left="1440" w:hanging="360"/>
        </w:pPr>
        <w:rPr>
          <w:rFonts w:ascii="Symbol" w:hAnsi="Symbol" w:hint="default"/>
          <w:sz w:val="20"/>
        </w:rPr>
      </w:lvl>
    </w:lvlOverride>
  </w:num>
  <w:num w:numId="294" w16cid:durableId="274562680">
    <w:abstractNumId w:val="122"/>
    <w:lvlOverride w:ilvl="1">
      <w:lvl w:ilvl="1">
        <w:numFmt w:val="bullet"/>
        <w:lvlText w:val=""/>
        <w:lvlJc w:val="left"/>
        <w:pPr>
          <w:tabs>
            <w:tab w:val="num" w:pos="1440"/>
          </w:tabs>
          <w:ind w:left="1440" w:hanging="360"/>
        </w:pPr>
        <w:rPr>
          <w:rFonts w:ascii="Symbol" w:hAnsi="Symbol" w:hint="default"/>
          <w:sz w:val="20"/>
        </w:rPr>
      </w:lvl>
    </w:lvlOverride>
  </w:num>
  <w:num w:numId="295" w16cid:durableId="1094324923">
    <w:abstractNumId w:val="50"/>
  </w:num>
  <w:num w:numId="296" w16cid:durableId="1272325265">
    <w:abstractNumId w:val="75"/>
  </w:num>
  <w:num w:numId="297" w16cid:durableId="1962573255">
    <w:abstractNumId w:val="75"/>
    <w:lvlOverride w:ilvl="1">
      <w:lvl w:ilvl="1">
        <w:numFmt w:val="bullet"/>
        <w:lvlText w:val=""/>
        <w:lvlJc w:val="left"/>
        <w:pPr>
          <w:tabs>
            <w:tab w:val="num" w:pos="1440"/>
          </w:tabs>
          <w:ind w:left="1440" w:hanging="360"/>
        </w:pPr>
        <w:rPr>
          <w:rFonts w:ascii="Symbol" w:hAnsi="Symbol" w:hint="default"/>
          <w:sz w:val="20"/>
        </w:rPr>
      </w:lvl>
    </w:lvlOverride>
  </w:num>
  <w:num w:numId="298" w16cid:durableId="195973868">
    <w:abstractNumId w:val="75"/>
    <w:lvlOverride w:ilvl="1">
      <w:lvl w:ilvl="1">
        <w:numFmt w:val="bullet"/>
        <w:lvlText w:val=""/>
        <w:lvlJc w:val="left"/>
        <w:pPr>
          <w:tabs>
            <w:tab w:val="num" w:pos="1440"/>
          </w:tabs>
          <w:ind w:left="1440" w:hanging="360"/>
        </w:pPr>
        <w:rPr>
          <w:rFonts w:ascii="Symbol" w:hAnsi="Symbol" w:hint="default"/>
          <w:sz w:val="20"/>
        </w:rPr>
      </w:lvl>
    </w:lvlOverride>
  </w:num>
  <w:num w:numId="299" w16cid:durableId="537355912">
    <w:abstractNumId w:val="34"/>
  </w:num>
  <w:num w:numId="300" w16cid:durableId="1616015866">
    <w:abstractNumId w:val="94"/>
  </w:num>
  <w:num w:numId="301" w16cid:durableId="476605254">
    <w:abstractNumId w:val="94"/>
    <w:lvlOverride w:ilvl="1">
      <w:lvl w:ilvl="1">
        <w:numFmt w:val="bullet"/>
        <w:lvlText w:val=""/>
        <w:lvlJc w:val="left"/>
        <w:pPr>
          <w:tabs>
            <w:tab w:val="num" w:pos="1440"/>
          </w:tabs>
          <w:ind w:left="1440" w:hanging="360"/>
        </w:pPr>
        <w:rPr>
          <w:rFonts w:ascii="Symbol" w:hAnsi="Symbol" w:hint="default"/>
          <w:sz w:val="20"/>
        </w:rPr>
      </w:lvl>
    </w:lvlOverride>
  </w:num>
  <w:num w:numId="302" w16cid:durableId="396056736">
    <w:abstractNumId w:val="94"/>
    <w:lvlOverride w:ilvl="1">
      <w:lvl w:ilvl="1">
        <w:numFmt w:val="bullet"/>
        <w:lvlText w:val=""/>
        <w:lvlJc w:val="left"/>
        <w:pPr>
          <w:tabs>
            <w:tab w:val="num" w:pos="1440"/>
          </w:tabs>
          <w:ind w:left="1440" w:hanging="360"/>
        </w:pPr>
        <w:rPr>
          <w:rFonts w:ascii="Symbol" w:hAnsi="Symbol" w:hint="default"/>
          <w:sz w:val="20"/>
        </w:rPr>
      </w:lvl>
    </w:lvlOverride>
  </w:num>
  <w:num w:numId="303" w16cid:durableId="1436094142">
    <w:abstractNumId w:val="74"/>
  </w:num>
  <w:num w:numId="304" w16cid:durableId="1676149653">
    <w:abstractNumId w:val="113"/>
  </w:num>
  <w:num w:numId="305" w16cid:durableId="247158691">
    <w:abstractNumId w:val="113"/>
    <w:lvlOverride w:ilvl="1">
      <w:lvl w:ilvl="1">
        <w:numFmt w:val="bullet"/>
        <w:lvlText w:val=""/>
        <w:lvlJc w:val="left"/>
        <w:pPr>
          <w:tabs>
            <w:tab w:val="num" w:pos="1440"/>
          </w:tabs>
          <w:ind w:left="1440" w:hanging="360"/>
        </w:pPr>
        <w:rPr>
          <w:rFonts w:ascii="Symbol" w:hAnsi="Symbol" w:hint="default"/>
          <w:sz w:val="20"/>
        </w:rPr>
      </w:lvl>
    </w:lvlOverride>
  </w:num>
  <w:num w:numId="306" w16cid:durableId="1270049199">
    <w:abstractNumId w:val="113"/>
    <w:lvlOverride w:ilvl="1">
      <w:lvl w:ilvl="1">
        <w:numFmt w:val="bullet"/>
        <w:lvlText w:val=""/>
        <w:lvlJc w:val="left"/>
        <w:pPr>
          <w:tabs>
            <w:tab w:val="num" w:pos="1440"/>
          </w:tabs>
          <w:ind w:left="1440" w:hanging="360"/>
        </w:pPr>
        <w:rPr>
          <w:rFonts w:ascii="Symbol" w:hAnsi="Symbol" w:hint="default"/>
          <w:sz w:val="20"/>
        </w:rPr>
      </w:lvl>
    </w:lvlOverride>
  </w:num>
  <w:num w:numId="307" w16cid:durableId="1400598520">
    <w:abstractNumId w:val="147"/>
  </w:num>
  <w:num w:numId="308" w16cid:durableId="1520119603">
    <w:abstractNumId w:val="84"/>
  </w:num>
  <w:num w:numId="309" w16cid:durableId="586619155">
    <w:abstractNumId w:val="84"/>
    <w:lvlOverride w:ilvl="1">
      <w:lvl w:ilvl="1">
        <w:numFmt w:val="bullet"/>
        <w:lvlText w:val=""/>
        <w:lvlJc w:val="left"/>
        <w:pPr>
          <w:tabs>
            <w:tab w:val="num" w:pos="1440"/>
          </w:tabs>
          <w:ind w:left="1440" w:hanging="360"/>
        </w:pPr>
        <w:rPr>
          <w:rFonts w:ascii="Symbol" w:hAnsi="Symbol" w:hint="default"/>
          <w:sz w:val="20"/>
        </w:rPr>
      </w:lvl>
    </w:lvlOverride>
  </w:num>
  <w:num w:numId="310" w16cid:durableId="291206992">
    <w:abstractNumId w:val="84"/>
    <w:lvlOverride w:ilvl="1">
      <w:lvl w:ilvl="1">
        <w:numFmt w:val="bullet"/>
        <w:lvlText w:val=""/>
        <w:lvlJc w:val="left"/>
        <w:pPr>
          <w:tabs>
            <w:tab w:val="num" w:pos="1440"/>
          </w:tabs>
          <w:ind w:left="1440" w:hanging="360"/>
        </w:pPr>
        <w:rPr>
          <w:rFonts w:ascii="Symbol" w:hAnsi="Symbol" w:hint="default"/>
          <w:sz w:val="20"/>
        </w:rPr>
      </w:lvl>
    </w:lvlOverride>
  </w:num>
  <w:num w:numId="311" w16cid:durableId="409430299">
    <w:abstractNumId w:val="41"/>
  </w:num>
  <w:num w:numId="312" w16cid:durableId="615910172">
    <w:abstractNumId w:val="14"/>
  </w:num>
  <w:num w:numId="313" w16cid:durableId="1996836056">
    <w:abstractNumId w:val="14"/>
    <w:lvlOverride w:ilvl="1">
      <w:lvl w:ilvl="1">
        <w:numFmt w:val="bullet"/>
        <w:lvlText w:val=""/>
        <w:lvlJc w:val="left"/>
        <w:pPr>
          <w:tabs>
            <w:tab w:val="num" w:pos="1440"/>
          </w:tabs>
          <w:ind w:left="1440" w:hanging="360"/>
        </w:pPr>
        <w:rPr>
          <w:rFonts w:ascii="Symbol" w:hAnsi="Symbol" w:hint="default"/>
          <w:sz w:val="20"/>
        </w:rPr>
      </w:lvl>
    </w:lvlOverride>
  </w:num>
  <w:num w:numId="314" w16cid:durableId="1282300087">
    <w:abstractNumId w:val="14"/>
    <w:lvlOverride w:ilvl="1">
      <w:lvl w:ilvl="1">
        <w:numFmt w:val="bullet"/>
        <w:lvlText w:val=""/>
        <w:lvlJc w:val="left"/>
        <w:pPr>
          <w:tabs>
            <w:tab w:val="num" w:pos="1440"/>
          </w:tabs>
          <w:ind w:left="1440" w:hanging="360"/>
        </w:pPr>
        <w:rPr>
          <w:rFonts w:ascii="Symbol" w:hAnsi="Symbol" w:hint="default"/>
          <w:sz w:val="20"/>
        </w:rPr>
      </w:lvl>
    </w:lvlOverride>
  </w:num>
  <w:num w:numId="315" w16cid:durableId="1128819413">
    <w:abstractNumId w:val="160"/>
  </w:num>
  <w:num w:numId="316" w16cid:durableId="817111997">
    <w:abstractNumId w:val="69"/>
  </w:num>
  <w:num w:numId="317" w16cid:durableId="694042845">
    <w:abstractNumId w:val="69"/>
    <w:lvlOverride w:ilvl="1">
      <w:lvl w:ilvl="1">
        <w:numFmt w:val="bullet"/>
        <w:lvlText w:val=""/>
        <w:lvlJc w:val="left"/>
        <w:pPr>
          <w:tabs>
            <w:tab w:val="num" w:pos="1440"/>
          </w:tabs>
          <w:ind w:left="1440" w:hanging="360"/>
        </w:pPr>
        <w:rPr>
          <w:rFonts w:ascii="Symbol" w:hAnsi="Symbol" w:hint="default"/>
          <w:sz w:val="20"/>
        </w:rPr>
      </w:lvl>
    </w:lvlOverride>
  </w:num>
  <w:num w:numId="318" w16cid:durableId="145368297">
    <w:abstractNumId w:val="69"/>
    <w:lvlOverride w:ilvl="1">
      <w:lvl w:ilvl="1">
        <w:numFmt w:val="bullet"/>
        <w:lvlText w:val=""/>
        <w:lvlJc w:val="left"/>
        <w:pPr>
          <w:tabs>
            <w:tab w:val="num" w:pos="1440"/>
          </w:tabs>
          <w:ind w:left="1440" w:hanging="360"/>
        </w:pPr>
        <w:rPr>
          <w:rFonts w:ascii="Symbol" w:hAnsi="Symbol" w:hint="default"/>
          <w:sz w:val="20"/>
        </w:rPr>
      </w:lvl>
    </w:lvlOverride>
  </w:num>
  <w:num w:numId="319" w16cid:durableId="1714228141">
    <w:abstractNumId w:val="114"/>
  </w:num>
  <w:num w:numId="320" w16cid:durableId="1845513124">
    <w:abstractNumId w:val="27"/>
  </w:num>
  <w:num w:numId="321" w16cid:durableId="1424836723">
    <w:abstractNumId w:val="27"/>
    <w:lvlOverride w:ilvl="1">
      <w:lvl w:ilvl="1">
        <w:numFmt w:val="bullet"/>
        <w:lvlText w:val=""/>
        <w:lvlJc w:val="left"/>
        <w:pPr>
          <w:tabs>
            <w:tab w:val="num" w:pos="1440"/>
          </w:tabs>
          <w:ind w:left="1440" w:hanging="360"/>
        </w:pPr>
        <w:rPr>
          <w:rFonts w:ascii="Symbol" w:hAnsi="Symbol" w:hint="default"/>
          <w:sz w:val="20"/>
        </w:rPr>
      </w:lvl>
    </w:lvlOverride>
  </w:num>
  <w:num w:numId="322" w16cid:durableId="1536844905">
    <w:abstractNumId w:val="27"/>
    <w:lvlOverride w:ilvl="1">
      <w:lvl w:ilvl="1">
        <w:numFmt w:val="bullet"/>
        <w:lvlText w:val=""/>
        <w:lvlJc w:val="left"/>
        <w:pPr>
          <w:tabs>
            <w:tab w:val="num" w:pos="1440"/>
          </w:tabs>
          <w:ind w:left="1440" w:hanging="360"/>
        </w:pPr>
        <w:rPr>
          <w:rFonts w:ascii="Symbol" w:hAnsi="Symbol" w:hint="default"/>
          <w:sz w:val="20"/>
        </w:rPr>
      </w:lvl>
    </w:lvlOverride>
  </w:num>
  <w:num w:numId="323" w16cid:durableId="781919415">
    <w:abstractNumId w:val="154"/>
  </w:num>
  <w:num w:numId="324" w16cid:durableId="629554513">
    <w:abstractNumId w:val="80"/>
  </w:num>
  <w:num w:numId="325" w16cid:durableId="2137333196">
    <w:abstractNumId w:val="80"/>
    <w:lvlOverride w:ilvl="1">
      <w:lvl w:ilvl="1">
        <w:numFmt w:val="bullet"/>
        <w:lvlText w:val=""/>
        <w:lvlJc w:val="left"/>
        <w:pPr>
          <w:tabs>
            <w:tab w:val="num" w:pos="1440"/>
          </w:tabs>
          <w:ind w:left="1440" w:hanging="360"/>
        </w:pPr>
        <w:rPr>
          <w:rFonts w:ascii="Symbol" w:hAnsi="Symbol" w:hint="default"/>
          <w:sz w:val="20"/>
        </w:rPr>
      </w:lvl>
    </w:lvlOverride>
  </w:num>
  <w:num w:numId="326" w16cid:durableId="1159691191">
    <w:abstractNumId w:val="80"/>
    <w:lvlOverride w:ilvl="1">
      <w:lvl w:ilvl="1">
        <w:numFmt w:val="bullet"/>
        <w:lvlText w:val=""/>
        <w:lvlJc w:val="left"/>
        <w:pPr>
          <w:tabs>
            <w:tab w:val="num" w:pos="1440"/>
          </w:tabs>
          <w:ind w:left="1440" w:hanging="360"/>
        </w:pPr>
        <w:rPr>
          <w:rFonts w:ascii="Symbol" w:hAnsi="Symbol" w:hint="default"/>
          <w:sz w:val="20"/>
        </w:rPr>
      </w:lvl>
    </w:lvlOverride>
  </w:num>
  <w:num w:numId="327" w16cid:durableId="1119682817">
    <w:abstractNumId w:val="130"/>
  </w:num>
  <w:num w:numId="328" w16cid:durableId="804664976">
    <w:abstractNumId w:val="79"/>
  </w:num>
  <w:num w:numId="329" w16cid:durableId="242181421">
    <w:abstractNumId w:val="79"/>
    <w:lvlOverride w:ilvl="1">
      <w:lvl w:ilvl="1">
        <w:numFmt w:val="bullet"/>
        <w:lvlText w:val=""/>
        <w:lvlJc w:val="left"/>
        <w:pPr>
          <w:tabs>
            <w:tab w:val="num" w:pos="1440"/>
          </w:tabs>
          <w:ind w:left="1440" w:hanging="360"/>
        </w:pPr>
        <w:rPr>
          <w:rFonts w:ascii="Symbol" w:hAnsi="Symbol" w:hint="default"/>
          <w:sz w:val="20"/>
        </w:rPr>
      </w:lvl>
    </w:lvlOverride>
  </w:num>
  <w:num w:numId="330" w16cid:durableId="1216041786">
    <w:abstractNumId w:val="79"/>
    <w:lvlOverride w:ilvl="1">
      <w:lvl w:ilvl="1">
        <w:numFmt w:val="bullet"/>
        <w:lvlText w:val=""/>
        <w:lvlJc w:val="left"/>
        <w:pPr>
          <w:tabs>
            <w:tab w:val="num" w:pos="1440"/>
          </w:tabs>
          <w:ind w:left="1440" w:hanging="360"/>
        </w:pPr>
        <w:rPr>
          <w:rFonts w:ascii="Symbol" w:hAnsi="Symbol" w:hint="default"/>
          <w:sz w:val="20"/>
        </w:rPr>
      </w:lvl>
    </w:lvlOverride>
  </w:num>
  <w:num w:numId="331" w16cid:durableId="1598293451">
    <w:abstractNumId w:val="121"/>
  </w:num>
  <w:num w:numId="332" w16cid:durableId="276565099">
    <w:abstractNumId w:val="29"/>
  </w:num>
  <w:num w:numId="333" w16cid:durableId="493763229">
    <w:abstractNumId w:val="26"/>
  </w:num>
  <w:num w:numId="334" w16cid:durableId="1963657684">
    <w:abstractNumId w:val="26"/>
    <w:lvlOverride w:ilvl="1">
      <w:lvl w:ilvl="1">
        <w:numFmt w:val="bullet"/>
        <w:lvlText w:val=""/>
        <w:lvlJc w:val="left"/>
        <w:pPr>
          <w:tabs>
            <w:tab w:val="num" w:pos="1440"/>
          </w:tabs>
          <w:ind w:left="1440" w:hanging="360"/>
        </w:pPr>
        <w:rPr>
          <w:rFonts w:ascii="Symbol" w:hAnsi="Symbol" w:hint="default"/>
          <w:sz w:val="20"/>
        </w:rPr>
      </w:lvl>
    </w:lvlOverride>
  </w:num>
  <w:num w:numId="335" w16cid:durableId="1584946503">
    <w:abstractNumId w:val="26"/>
    <w:lvlOverride w:ilvl="1">
      <w:lvl w:ilvl="1">
        <w:numFmt w:val="bullet"/>
        <w:lvlText w:val=""/>
        <w:lvlJc w:val="left"/>
        <w:pPr>
          <w:tabs>
            <w:tab w:val="num" w:pos="1440"/>
          </w:tabs>
          <w:ind w:left="1440" w:hanging="360"/>
        </w:pPr>
        <w:rPr>
          <w:rFonts w:ascii="Symbol" w:hAnsi="Symbol" w:hint="default"/>
          <w:sz w:val="20"/>
        </w:rPr>
      </w:lvl>
    </w:lvlOverride>
  </w:num>
  <w:num w:numId="336" w16cid:durableId="321280950">
    <w:abstractNumId w:val="110"/>
  </w:num>
  <w:num w:numId="337" w16cid:durableId="639263299">
    <w:abstractNumId w:val="32"/>
  </w:num>
  <w:num w:numId="338" w16cid:durableId="537813870">
    <w:abstractNumId w:val="32"/>
    <w:lvlOverride w:ilvl="1">
      <w:lvl w:ilvl="1">
        <w:numFmt w:val="bullet"/>
        <w:lvlText w:val=""/>
        <w:lvlJc w:val="left"/>
        <w:pPr>
          <w:tabs>
            <w:tab w:val="num" w:pos="1440"/>
          </w:tabs>
          <w:ind w:left="1440" w:hanging="360"/>
        </w:pPr>
        <w:rPr>
          <w:rFonts w:ascii="Symbol" w:hAnsi="Symbol" w:hint="default"/>
          <w:sz w:val="20"/>
        </w:rPr>
      </w:lvl>
    </w:lvlOverride>
  </w:num>
  <w:num w:numId="339" w16cid:durableId="1180854444">
    <w:abstractNumId w:val="32"/>
    <w:lvlOverride w:ilvl="1">
      <w:lvl w:ilvl="1">
        <w:numFmt w:val="bullet"/>
        <w:lvlText w:val=""/>
        <w:lvlJc w:val="left"/>
        <w:pPr>
          <w:tabs>
            <w:tab w:val="num" w:pos="1440"/>
          </w:tabs>
          <w:ind w:left="1440" w:hanging="360"/>
        </w:pPr>
        <w:rPr>
          <w:rFonts w:ascii="Symbol" w:hAnsi="Symbol" w:hint="default"/>
          <w:sz w:val="20"/>
        </w:rPr>
      </w:lvl>
    </w:lvlOverride>
  </w:num>
  <w:num w:numId="340" w16cid:durableId="988754262">
    <w:abstractNumId w:val="155"/>
  </w:num>
  <w:num w:numId="341" w16cid:durableId="1726760626">
    <w:abstractNumId w:val="132"/>
  </w:num>
  <w:num w:numId="342" w16cid:durableId="1559701406">
    <w:abstractNumId w:val="132"/>
    <w:lvlOverride w:ilvl="1">
      <w:lvl w:ilvl="1">
        <w:numFmt w:val="bullet"/>
        <w:lvlText w:val=""/>
        <w:lvlJc w:val="left"/>
        <w:pPr>
          <w:tabs>
            <w:tab w:val="num" w:pos="1440"/>
          </w:tabs>
          <w:ind w:left="1440" w:hanging="360"/>
        </w:pPr>
        <w:rPr>
          <w:rFonts w:ascii="Symbol" w:hAnsi="Symbol" w:hint="default"/>
          <w:sz w:val="20"/>
        </w:rPr>
      </w:lvl>
    </w:lvlOverride>
  </w:num>
  <w:num w:numId="343" w16cid:durableId="1698461567">
    <w:abstractNumId w:val="132"/>
    <w:lvlOverride w:ilvl="1">
      <w:lvl w:ilvl="1">
        <w:numFmt w:val="bullet"/>
        <w:lvlText w:val=""/>
        <w:lvlJc w:val="left"/>
        <w:pPr>
          <w:tabs>
            <w:tab w:val="num" w:pos="1440"/>
          </w:tabs>
          <w:ind w:left="1440" w:hanging="360"/>
        </w:pPr>
        <w:rPr>
          <w:rFonts w:ascii="Symbol" w:hAnsi="Symbol" w:hint="default"/>
          <w:sz w:val="20"/>
        </w:rPr>
      </w:lvl>
    </w:lvlOverride>
  </w:num>
  <w:num w:numId="344" w16cid:durableId="222765516">
    <w:abstractNumId w:val="37"/>
  </w:num>
  <w:num w:numId="345" w16cid:durableId="277109389">
    <w:abstractNumId w:val="97"/>
  </w:num>
  <w:num w:numId="346" w16cid:durableId="1587223225">
    <w:abstractNumId w:val="97"/>
    <w:lvlOverride w:ilvl="1">
      <w:lvl w:ilvl="1">
        <w:numFmt w:val="bullet"/>
        <w:lvlText w:val=""/>
        <w:lvlJc w:val="left"/>
        <w:pPr>
          <w:tabs>
            <w:tab w:val="num" w:pos="1440"/>
          </w:tabs>
          <w:ind w:left="1440" w:hanging="360"/>
        </w:pPr>
        <w:rPr>
          <w:rFonts w:ascii="Symbol" w:hAnsi="Symbol" w:hint="default"/>
          <w:sz w:val="20"/>
        </w:rPr>
      </w:lvl>
    </w:lvlOverride>
  </w:num>
  <w:num w:numId="347" w16cid:durableId="1274170496">
    <w:abstractNumId w:val="97"/>
    <w:lvlOverride w:ilvl="1">
      <w:lvl w:ilvl="1">
        <w:numFmt w:val="bullet"/>
        <w:lvlText w:val=""/>
        <w:lvlJc w:val="left"/>
        <w:pPr>
          <w:tabs>
            <w:tab w:val="num" w:pos="1440"/>
          </w:tabs>
          <w:ind w:left="1440" w:hanging="360"/>
        </w:pPr>
        <w:rPr>
          <w:rFonts w:ascii="Symbol" w:hAnsi="Symbol" w:hint="default"/>
          <w:sz w:val="20"/>
        </w:rPr>
      </w:lvl>
    </w:lvlOverride>
  </w:num>
  <w:num w:numId="348" w16cid:durableId="1765492805">
    <w:abstractNumId w:val="46"/>
  </w:num>
  <w:num w:numId="349" w16cid:durableId="782966663">
    <w:abstractNumId w:val="83"/>
  </w:num>
  <w:num w:numId="350" w16cid:durableId="82919462">
    <w:abstractNumId w:val="83"/>
    <w:lvlOverride w:ilvl="1">
      <w:lvl w:ilvl="1">
        <w:numFmt w:val="bullet"/>
        <w:lvlText w:val=""/>
        <w:lvlJc w:val="left"/>
        <w:pPr>
          <w:tabs>
            <w:tab w:val="num" w:pos="1440"/>
          </w:tabs>
          <w:ind w:left="1440" w:hanging="360"/>
        </w:pPr>
        <w:rPr>
          <w:rFonts w:ascii="Symbol" w:hAnsi="Symbol" w:hint="default"/>
          <w:sz w:val="20"/>
        </w:rPr>
      </w:lvl>
    </w:lvlOverride>
  </w:num>
  <w:num w:numId="351" w16cid:durableId="1431240985">
    <w:abstractNumId w:val="83"/>
    <w:lvlOverride w:ilvl="1">
      <w:lvl w:ilvl="1">
        <w:numFmt w:val="bullet"/>
        <w:lvlText w:val=""/>
        <w:lvlJc w:val="left"/>
        <w:pPr>
          <w:tabs>
            <w:tab w:val="num" w:pos="1440"/>
          </w:tabs>
          <w:ind w:left="1440" w:hanging="360"/>
        </w:pPr>
        <w:rPr>
          <w:rFonts w:ascii="Symbol" w:hAnsi="Symbol" w:hint="default"/>
          <w:sz w:val="20"/>
        </w:rPr>
      </w:lvl>
    </w:lvlOverride>
  </w:num>
  <w:num w:numId="352" w16cid:durableId="999697516">
    <w:abstractNumId w:val="91"/>
  </w:num>
  <w:num w:numId="353" w16cid:durableId="29575316">
    <w:abstractNumId w:val="117"/>
  </w:num>
  <w:num w:numId="354" w16cid:durableId="668945275">
    <w:abstractNumId w:val="117"/>
    <w:lvlOverride w:ilvl="1">
      <w:lvl w:ilvl="1">
        <w:numFmt w:val="bullet"/>
        <w:lvlText w:val=""/>
        <w:lvlJc w:val="left"/>
        <w:pPr>
          <w:tabs>
            <w:tab w:val="num" w:pos="1440"/>
          </w:tabs>
          <w:ind w:left="1440" w:hanging="360"/>
        </w:pPr>
        <w:rPr>
          <w:rFonts w:ascii="Symbol" w:hAnsi="Symbol" w:hint="default"/>
          <w:sz w:val="20"/>
        </w:rPr>
      </w:lvl>
    </w:lvlOverride>
  </w:num>
  <w:num w:numId="355" w16cid:durableId="1578399960">
    <w:abstractNumId w:val="117"/>
    <w:lvlOverride w:ilvl="1">
      <w:lvl w:ilvl="1">
        <w:numFmt w:val="bullet"/>
        <w:lvlText w:val=""/>
        <w:lvlJc w:val="left"/>
        <w:pPr>
          <w:tabs>
            <w:tab w:val="num" w:pos="1440"/>
          </w:tabs>
          <w:ind w:left="1440" w:hanging="360"/>
        </w:pPr>
        <w:rPr>
          <w:rFonts w:ascii="Symbol" w:hAnsi="Symbol" w:hint="default"/>
          <w:sz w:val="20"/>
        </w:rPr>
      </w:lvl>
    </w:lvlOverride>
  </w:num>
  <w:num w:numId="356" w16cid:durableId="490948270">
    <w:abstractNumId w:val="10"/>
  </w:num>
  <w:num w:numId="357" w16cid:durableId="1433666838">
    <w:abstractNumId w:val="112"/>
  </w:num>
  <w:num w:numId="358" w16cid:durableId="1932814366">
    <w:abstractNumId w:val="112"/>
    <w:lvlOverride w:ilvl="1">
      <w:lvl w:ilvl="1">
        <w:numFmt w:val="bullet"/>
        <w:lvlText w:val=""/>
        <w:lvlJc w:val="left"/>
        <w:pPr>
          <w:tabs>
            <w:tab w:val="num" w:pos="1440"/>
          </w:tabs>
          <w:ind w:left="1440" w:hanging="360"/>
        </w:pPr>
        <w:rPr>
          <w:rFonts w:ascii="Symbol" w:hAnsi="Symbol" w:hint="default"/>
          <w:sz w:val="20"/>
        </w:rPr>
      </w:lvl>
    </w:lvlOverride>
  </w:num>
  <w:num w:numId="359" w16cid:durableId="644817843">
    <w:abstractNumId w:val="112"/>
    <w:lvlOverride w:ilvl="1">
      <w:lvl w:ilvl="1">
        <w:numFmt w:val="bullet"/>
        <w:lvlText w:val=""/>
        <w:lvlJc w:val="left"/>
        <w:pPr>
          <w:tabs>
            <w:tab w:val="num" w:pos="1440"/>
          </w:tabs>
          <w:ind w:left="1440" w:hanging="360"/>
        </w:pPr>
        <w:rPr>
          <w:rFonts w:ascii="Symbol" w:hAnsi="Symbol" w:hint="default"/>
          <w:sz w:val="20"/>
        </w:rPr>
      </w:lvl>
    </w:lvlOverride>
  </w:num>
  <w:num w:numId="360" w16cid:durableId="1378627672">
    <w:abstractNumId w:val="71"/>
  </w:num>
  <w:num w:numId="361" w16cid:durableId="1600869360">
    <w:abstractNumId w:val="141"/>
  </w:num>
  <w:num w:numId="362" w16cid:durableId="1714691549">
    <w:abstractNumId w:val="141"/>
    <w:lvlOverride w:ilvl="1">
      <w:lvl w:ilvl="1">
        <w:numFmt w:val="bullet"/>
        <w:lvlText w:val=""/>
        <w:lvlJc w:val="left"/>
        <w:pPr>
          <w:tabs>
            <w:tab w:val="num" w:pos="1440"/>
          </w:tabs>
          <w:ind w:left="1440" w:hanging="360"/>
        </w:pPr>
        <w:rPr>
          <w:rFonts w:ascii="Symbol" w:hAnsi="Symbol" w:hint="default"/>
          <w:sz w:val="20"/>
        </w:rPr>
      </w:lvl>
    </w:lvlOverride>
  </w:num>
  <w:num w:numId="363" w16cid:durableId="278800552">
    <w:abstractNumId w:val="141"/>
    <w:lvlOverride w:ilvl="1">
      <w:lvl w:ilvl="1">
        <w:numFmt w:val="bullet"/>
        <w:lvlText w:val=""/>
        <w:lvlJc w:val="left"/>
        <w:pPr>
          <w:tabs>
            <w:tab w:val="num" w:pos="1440"/>
          </w:tabs>
          <w:ind w:left="1440" w:hanging="360"/>
        </w:pPr>
        <w:rPr>
          <w:rFonts w:ascii="Symbol" w:hAnsi="Symbol" w:hint="default"/>
          <w:sz w:val="20"/>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47E0B"/>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881"/>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D73"/>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E7BC2"/>
    <w:rsid w:val="000F0CC4"/>
    <w:rsid w:val="000F2E23"/>
    <w:rsid w:val="000F4821"/>
    <w:rsid w:val="000F5B71"/>
    <w:rsid w:val="000F7CB5"/>
    <w:rsid w:val="0010020C"/>
    <w:rsid w:val="00101020"/>
    <w:rsid w:val="00101352"/>
    <w:rsid w:val="00103710"/>
    <w:rsid w:val="00103C71"/>
    <w:rsid w:val="00104726"/>
    <w:rsid w:val="0010494B"/>
    <w:rsid w:val="00104CFA"/>
    <w:rsid w:val="0010568F"/>
    <w:rsid w:val="00111517"/>
    <w:rsid w:val="0011611D"/>
    <w:rsid w:val="001163FF"/>
    <w:rsid w:val="00116DFF"/>
    <w:rsid w:val="0011717E"/>
    <w:rsid w:val="001201DC"/>
    <w:rsid w:val="001209BC"/>
    <w:rsid w:val="00123AC9"/>
    <w:rsid w:val="00123F9C"/>
    <w:rsid w:val="00124565"/>
    <w:rsid w:val="00124651"/>
    <w:rsid w:val="0012494A"/>
    <w:rsid w:val="001252ED"/>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44E3"/>
    <w:rsid w:val="00174FCE"/>
    <w:rsid w:val="001776D8"/>
    <w:rsid w:val="00180054"/>
    <w:rsid w:val="0018028A"/>
    <w:rsid w:val="001807F5"/>
    <w:rsid w:val="00180B4E"/>
    <w:rsid w:val="00181E0E"/>
    <w:rsid w:val="00183547"/>
    <w:rsid w:val="001845BC"/>
    <w:rsid w:val="0018478D"/>
    <w:rsid w:val="00185A03"/>
    <w:rsid w:val="001863B0"/>
    <w:rsid w:val="001863FA"/>
    <w:rsid w:val="00190017"/>
    <w:rsid w:val="001907D7"/>
    <w:rsid w:val="001908FC"/>
    <w:rsid w:val="00191B51"/>
    <w:rsid w:val="00192501"/>
    <w:rsid w:val="0019396F"/>
    <w:rsid w:val="001943A5"/>
    <w:rsid w:val="001945E3"/>
    <w:rsid w:val="00195DDD"/>
    <w:rsid w:val="001A45EC"/>
    <w:rsid w:val="001B1DC2"/>
    <w:rsid w:val="001B4926"/>
    <w:rsid w:val="001B55D6"/>
    <w:rsid w:val="001B746D"/>
    <w:rsid w:val="001B77B4"/>
    <w:rsid w:val="001B7B9C"/>
    <w:rsid w:val="001C008D"/>
    <w:rsid w:val="001C06F8"/>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1013"/>
    <w:rsid w:val="001F6273"/>
    <w:rsid w:val="001F6465"/>
    <w:rsid w:val="001F72D4"/>
    <w:rsid w:val="00200019"/>
    <w:rsid w:val="00201777"/>
    <w:rsid w:val="00201F18"/>
    <w:rsid w:val="0020209B"/>
    <w:rsid w:val="00202A2B"/>
    <w:rsid w:val="00204B2A"/>
    <w:rsid w:val="002063DC"/>
    <w:rsid w:val="00207B16"/>
    <w:rsid w:val="00212F7A"/>
    <w:rsid w:val="0021329E"/>
    <w:rsid w:val="0021356E"/>
    <w:rsid w:val="00213685"/>
    <w:rsid w:val="0021396B"/>
    <w:rsid w:val="00214A7B"/>
    <w:rsid w:val="00215654"/>
    <w:rsid w:val="00220776"/>
    <w:rsid w:val="00220FC1"/>
    <w:rsid w:val="00221581"/>
    <w:rsid w:val="002228EA"/>
    <w:rsid w:val="0022501F"/>
    <w:rsid w:val="00226DA0"/>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1FD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4CEC"/>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4E92"/>
    <w:rsid w:val="002B5040"/>
    <w:rsid w:val="002B5147"/>
    <w:rsid w:val="002B7A20"/>
    <w:rsid w:val="002C016B"/>
    <w:rsid w:val="002C0B8A"/>
    <w:rsid w:val="002C3501"/>
    <w:rsid w:val="002C3C53"/>
    <w:rsid w:val="002C533F"/>
    <w:rsid w:val="002D0C13"/>
    <w:rsid w:val="002D0DB5"/>
    <w:rsid w:val="002D1A50"/>
    <w:rsid w:val="002D266B"/>
    <w:rsid w:val="002D56D7"/>
    <w:rsid w:val="002D645B"/>
    <w:rsid w:val="002E02A1"/>
    <w:rsid w:val="002E0586"/>
    <w:rsid w:val="002E2407"/>
    <w:rsid w:val="002E3A18"/>
    <w:rsid w:val="002E3F02"/>
    <w:rsid w:val="002E57CC"/>
    <w:rsid w:val="002F5516"/>
    <w:rsid w:val="003025C0"/>
    <w:rsid w:val="003045C3"/>
    <w:rsid w:val="00304E0A"/>
    <w:rsid w:val="0030619E"/>
    <w:rsid w:val="00307D8B"/>
    <w:rsid w:val="003138B0"/>
    <w:rsid w:val="00314188"/>
    <w:rsid w:val="00314A63"/>
    <w:rsid w:val="00315773"/>
    <w:rsid w:val="00315815"/>
    <w:rsid w:val="00315C8B"/>
    <w:rsid w:val="00316830"/>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1F28"/>
    <w:rsid w:val="00363D7C"/>
    <w:rsid w:val="003664E8"/>
    <w:rsid w:val="00366CDA"/>
    <w:rsid w:val="00370196"/>
    <w:rsid w:val="00371FDD"/>
    <w:rsid w:val="0037204D"/>
    <w:rsid w:val="00372A2E"/>
    <w:rsid w:val="00372C1A"/>
    <w:rsid w:val="0037335D"/>
    <w:rsid w:val="003752A9"/>
    <w:rsid w:val="0037553F"/>
    <w:rsid w:val="003759C6"/>
    <w:rsid w:val="0037651B"/>
    <w:rsid w:val="00376EF1"/>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0563"/>
    <w:rsid w:val="003E1E02"/>
    <w:rsid w:val="003E353C"/>
    <w:rsid w:val="003E5117"/>
    <w:rsid w:val="003E5319"/>
    <w:rsid w:val="003E68FE"/>
    <w:rsid w:val="003E7A41"/>
    <w:rsid w:val="003F1314"/>
    <w:rsid w:val="003F1596"/>
    <w:rsid w:val="003F1C60"/>
    <w:rsid w:val="003F2437"/>
    <w:rsid w:val="003F3197"/>
    <w:rsid w:val="003F51BB"/>
    <w:rsid w:val="004001EC"/>
    <w:rsid w:val="004009E4"/>
    <w:rsid w:val="00402F5C"/>
    <w:rsid w:val="004049B5"/>
    <w:rsid w:val="004071A9"/>
    <w:rsid w:val="00410256"/>
    <w:rsid w:val="004103DE"/>
    <w:rsid w:val="00413C59"/>
    <w:rsid w:val="00414113"/>
    <w:rsid w:val="00415E47"/>
    <w:rsid w:val="00415F32"/>
    <w:rsid w:val="004168E0"/>
    <w:rsid w:val="00417491"/>
    <w:rsid w:val="0042380C"/>
    <w:rsid w:val="00425218"/>
    <w:rsid w:val="0042708B"/>
    <w:rsid w:val="00430F45"/>
    <w:rsid w:val="0043169D"/>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0FCD"/>
    <w:rsid w:val="00453970"/>
    <w:rsid w:val="00454626"/>
    <w:rsid w:val="00454AD6"/>
    <w:rsid w:val="00454FC9"/>
    <w:rsid w:val="00455596"/>
    <w:rsid w:val="0045705D"/>
    <w:rsid w:val="00457A72"/>
    <w:rsid w:val="00460D82"/>
    <w:rsid w:val="0046248A"/>
    <w:rsid w:val="00464066"/>
    <w:rsid w:val="0046415F"/>
    <w:rsid w:val="00464618"/>
    <w:rsid w:val="00464C5F"/>
    <w:rsid w:val="00465522"/>
    <w:rsid w:val="00465916"/>
    <w:rsid w:val="004668E9"/>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A7195"/>
    <w:rsid w:val="004B20C3"/>
    <w:rsid w:val="004B3639"/>
    <w:rsid w:val="004B3DB5"/>
    <w:rsid w:val="004B53B6"/>
    <w:rsid w:val="004C1BF7"/>
    <w:rsid w:val="004C3B08"/>
    <w:rsid w:val="004C47D5"/>
    <w:rsid w:val="004C74D0"/>
    <w:rsid w:val="004C7549"/>
    <w:rsid w:val="004D2808"/>
    <w:rsid w:val="004D4E50"/>
    <w:rsid w:val="004D6AA1"/>
    <w:rsid w:val="004D7B18"/>
    <w:rsid w:val="004D7EB3"/>
    <w:rsid w:val="004E0424"/>
    <w:rsid w:val="004E064C"/>
    <w:rsid w:val="004E07CA"/>
    <w:rsid w:val="004E1480"/>
    <w:rsid w:val="004E17DD"/>
    <w:rsid w:val="004E27D8"/>
    <w:rsid w:val="004E280B"/>
    <w:rsid w:val="004E5511"/>
    <w:rsid w:val="004E64C9"/>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2210"/>
    <w:rsid w:val="00523E6B"/>
    <w:rsid w:val="00523EB5"/>
    <w:rsid w:val="00525440"/>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5FCD"/>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B7D96"/>
    <w:rsid w:val="005C195F"/>
    <w:rsid w:val="005C29BB"/>
    <w:rsid w:val="005C2F1F"/>
    <w:rsid w:val="005C49E1"/>
    <w:rsid w:val="005C4E8D"/>
    <w:rsid w:val="005C6CCB"/>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3E2F"/>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6FD0"/>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86443"/>
    <w:rsid w:val="00691DC6"/>
    <w:rsid w:val="00692068"/>
    <w:rsid w:val="00692321"/>
    <w:rsid w:val="00692CC9"/>
    <w:rsid w:val="00693AC1"/>
    <w:rsid w:val="00694955"/>
    <w:rsid w:val="0069510A"/>
    <w:rsid w:val="006951CB"/>
    <w:rsid w:val="00696165"/>
    <w:rsid w:val="006A3143"/>
    <w:rsid w:val="006A5561"/>
    <w:rsid w:val="006A566A"/>
    <w:rsid w:val="006A61D9"/>
    <w:rsid w:val="006A67DB"/>
    <w:rsid w:val="006A7127"/>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0DD"/>
    <w:rsid w:val="006D06C2"/>
    <w:rsid w:val="006D0BEC"/>
    <w:rsid w:val="006D2E73"/>
    <w:rsid w:val="006D3C13"/>
    <w:rsid w:val="006D456E"/>
    <w:rsid w:val="006D4FC8"/>
    <w:rsid w:val="006D6502"/>
    <w:rsid w:val="006D7CA9"/>
    <w:rsid w:val="006E07F8"/>
    <w:rsid w:val="006E1543"/>
    <w:rsid w:val="006E1D74"/>
    <w:rsid w:val="006E44EB"/>
    <w:rsid w:val="006E46C7"/>
    <w:rsid w:val="006E6A93"/>
    <w:rsid w:val="006E7545"/>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3EC1"/>
    <w:rsid w:val="00714749"/>
    <w:rsid w:val="007148A2"/>
    <w:rsid w:val="00717267"/>
    <w:rsid w:val="00721603"/>
    <w:rsid w:val="0072293B"/>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504"/>
    <w:rsid w:val="00746684"/>
    <w:rsid w:val="00746B0B"/>
    <w:rsid w:val="007475AF"/>
    <w:rsid w:val="00747799"/>
    <w:rsid w:val="0075235B"/>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7B"/>
    <w:rsid w:val="00783498"/>
    <w:rsid w:val="0078372B"/>
    <w:rsid w:val="007837C8"/>
    <w:rsid w:val="007852FD"/>
    <w:rsid w:val="00785471"/>
    <w:rsid w:val="00785F38"/>
    <w:rsid w:val="00786AE7"/>
    <w:rsid w:val="00790F89"/>
    <w:rsid w:val="00795294"/>
    <w:rsid w:val="0079660C"/>
    <w:rsid w:val="007968C1"/>
    <w:rsid w:val="00796E42"/>
    <w:rsid w:val="0079766A"/>
    <w:rsid w:val="007A1F89"/>
    <w:rsid w:val="007A57A8"/>
    <w:rsid w:val="007A5F28"/>
    <w:rsid w:val="007A78E2"/>
    <w:rsid w:val="007B25AE"/>
    <w:rsid w:val="007B2927"/>
    <w:rsid w:val="007B3BAC"/>
    <w:rsid w:val="007B6EA5"/>
    <w:rsid w:val="007B6F1D"/>
    <w:rsid w:val="007B76DC"/>
    <w:rsid w:val="007C2B06"/>
    <w:rsid w:val="007C3827"/>
    <w:rsid w:val="007C4A2C"/>
    <w:rsid w:val="007C4D9E"/>
    <w:rsid w:val="007C4E57"/>
    <w:rsid w:val="007C5427"/>
    <w:rsid w:val="007C6583"/>
    <w:rsid w:val="007C7C4A"/>
    <w:rsid w:val="007D14A3"/>
    <w:rsid w:val="007D2482"/>
    <w:rsid w:val="007D6236"/>
    <w:rsid w:val="007D7965"/>
    <w:rsid w:val="007E0190"/>
    <w:rsid w:val="007E087F"/>
    <w:rsid w:val="007E2241"/>
    <w:rsid w:val="007E2266"/>
    <w:rsid w:val="007E229D"/>
    <w:rsid w:val="007E26EE"/>
    <w:rsid w:val="007E3F21"/>
    <w:rsid w:val="007E42F5"/>
    <w:rsid w:val="007E5B85"/>
    <w:rsid w:val="007E625B"/>
    <w:rsid w:val="007F0CAB"/>
    <w:rsid w:val="007F25A8"/>
    <w:rsid w:val="007F3DE0"/>
    <w:rsid w:val="007F4D4E"/>
    <w:rsid w:val="007F541B"/>
    <w:rsid w:val="007F549A"/>
    <w:rsid w:val="007F7D66"/>
    <w:rsid w:val="008009E8"/>
    <w:rsid w:val="00803BE4"/>
    <w:rsid w:val="00804838"/>
    <w:rsid w:val="008060D5"/>
    <w:rsid w:val="00810C89"/>
    <w:rsid w:val="00812AEC"/>
    <w:rsid w:val="00813B39"/>
    <w:rsid w:val="008140F0"/>
    <w:rsid w:val="00814FAD"/>
    <w:rsid w:val="00815E06"/>
    <w:rsid w:val="008165B1"/>
    <w:rsid w:val="00823DDE"/>
    <w:rsid w:val="008249DF"/>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0A82"/>
    <w:rsid w:val="00881428"/>
    <w:rsid w:val="00884BE1"/>
    <w:rsid w:val="00885A30"/>
    <w:rsid w:val="008862C9"/>
    <w:rsid w:val="008871B4"/>
    <w:rsid w:val="0089158A"/>
    <w:rsid w:val="00891BA1"/>
    <w:rsid w:val="008938DB"/>
    <w:rsid w:val="008958CB"/>
    <w:rsid w:val="00895CAE"/>
    <w:rsid w:val="008A0616"/>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6BE2"/>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6DE6"/>
    <w:rsid w:val="009673A4"/>
    <w:rsid w:val="00970162"/>
    <w:rsid w:val="00971A29"/>
    <w:rsid w:val="00971F6C"/>
    <w:rsid w:val="00972C29"/>
    <w:rsid w:val="00972D1D"/>
    <w:rsid w:val="00975B8F"/>
    <w:rsid w:val="00976721"/>
    <w:rsid w:val="00977547"/>
    <w:rsid w:val="009778C2"/>
    <w:rsid w:val="00977DF8"/>
    <w:rsid w:val="00980C3B"/>
    <w:rsid w:val="00981646"/>
    <w:rsid w:val="00981E1A"/>
    <w:rsid w:val="0098249A"/>
    <w:rsid w:val="009829A3"/>
    <w:rsid w:val="00986837"/>
    <w:rsid w:val="00990540"/>
    <w:rsid w:val="00992FA8"/>
    <w:rsid w:val="009942A8"/>
    <w:rsid w:val="009966C2"/>
    <w:rsid w:val="0099770F"/>
    <w:rsid w:val="009A044A"/>
    <w:rsid w:val="009A2C45"/>
    <w:rsid w:val="009B0DD2"/>
    <w:rsid w:val="009B135F"/>
    <w:rsid w:val="009B1F0C"/>
    <w:rsid w:val="009B467C"/>
    <w:rsid w:val="009B5286"/>
    <w:rsid w:val="009B5404"/>
    <w:rsid w:val="009B6871"/>
    <w:rsid w:val="009B6B77"/>
    <w:rsid w:val="009B7FA8"/>
    <w:rsid w:val="009C1CC1"/>
    <w:rsid w:val="009C444E"/>
    <w:rsid w:val="009C516E"/>
    <w:rsid w:val="009C64E4"/>
    <w:rsid w:val="009C7FD0"/>
    <w:rsid w:val="009D172C"/>
    <w:rsid w:val="009D3D4D"/>
    <w:rsid w:val="009D4B26"/>
    <w:rsid w:val="009D5909"/>
    <w:rsid w:val="009E0374"/>
    <w:rsid w:val="009E1E0A"/>
    <w:rsid w:val="009E3CB3"/>
    <w:rsid w:val="009E5D98"/>
    <w:rsid w:val="009E6517"/>
    <w:rsid w:val="009E6F31"/>
    <w:rsid w:val="009E7C99"/>
    <w:rsid w:val="009F0F6E"/>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4A8"/>
    <w:rsid w:val="00A167DD"/>
    <w:rsid w:val="00A16B1B"/>
    <w:rsid w:val="00A17476"/>
    <w:rsid w:val="00A24095"/>
    <w:rsid w:val="00A25B56"/>
    <w:rsid w:val="00A265B4"/>
    <w:rsid w:val="00A26B4F"/>
    <w:rsid w:val="00A30324"/>
    <w:rsid w:val="00A30A14"/>
    <w:rsid w:val="00A30E12"/>
    <w:rsid w:val="00A312FE"/>
    <w:rsid w:val="00A31559"/>
    <w:rsid w:val="00A31EFE"/>
    <w:rsid w:val="00A31F58"/>
    <w:rsid w:val="00A32CD9"/>
    <w:rsid w:val="00A355C3"/>
    <w:rsid w:val="00A37331"/>
    <w:rsid w:val="00A41FAE"/>
    <w:rsid w:val="00A4253D"/>
    <w:rsid w:val="00A4410F"/>
    <w:rsid w:val="00A44A57"/>
    <w:rsid w:val="00A44B81"/>
    <w:rsid w:val="00A45E8D"/>
    <w:rsid w:val="00A462C5"/>
    <w:rsid w:val="00A46462"/>
    <w:rsid w:val="00A47733"/>
    <w:rsid w:val="00A47CCB"/>
    <w:rsid w:val="00A50B57"/>
    <w:rsid w:val="00A526FE"/>
    <w:rsid w:val="00A53E98"/>
    <w:rsid w:val="00A55C3E"/>
    <w:rsid w:val="00A600FB"/>
    <w:rsid w:val="00A618BD"/>
    <w:rsid w:val="00A61A89"/>
    <w:rsid w:val="00A63D0E"/>
    <w:rsid w:val="00A641E2"/>
    <w:rsid w:val="00A6607D"/>
    <w:rsid w:val="00A66CC8"/>
    <w:rsid w:val="00A675E8"/>
    <w:rsid w:val="00A67922"/>
    <w:rsid w:val="00A70A59"/>
    <w:rsid w:val="00A7116F"/>
    <w:rsid w:val="00A72480"/>
    <w:rsid w:val="00A73368"/>
    <w:rsid w:val="00A73C9C"/>
    <w:rsid w:val="00A73F83"/>
    <w:rsid w:val="00A74D31"/>
    <w:rsid w:val="00A74F65"/>
    <w:rsid w:val="00A77C25"/>
    <w:rsid w:val="00A83C07"/>
    <w:rsid w:val="00A83DBE"/>
    <w:rsid w:val="00A86C75"/>
    <w:rsid w:val="00A86FB2"/>
    <w:rsid w:val="00A90AE0"/>
    <w:rsid w:val="00A9138F"/>
    <w:rsid w:val="00A92376"/>
    <w:rsid w:val="00A936A2"/>
    <w:rsid w:val="00A94973"/>
    <w:rsid w:val="00A96989"/>
    <w:rsid w:val="00A97F10"/>
    <w:rsid w:val="00AA008B"/>
    <w:rsid w:val="00AA277E"/>
    <w:rsid w:val="00AA4061"/>
    <w:rsid w:val="00AA6273"/>
    <w:rsid w:val="00AB22FA"/>
    <w:rsid w:val="00AB41A5"/>
    <w:rsid w:val="00AB53A9"/>
    <w:rsid w:val="00AC0111"/>
    <w:rsid w:val="00AC1EC7"/>
    <w:rsid w:val="00AC5461"/>
    <w:rsid w:val="00AC62AD"/>
    <w:rsid w:val="00AC6AF7"/>
    <w:rsid w:val="00AD00D5"/>
    <w:rsid w:val="00AD0CBF"/>
    <w:rsid w:val="00AD262B"/>
    <w:rsid w:val="00AD39AA"/>
    <w:rsid w:val="00AD4881"/>
    <w:rsid w:val="00AD498B"/>
    <w:rsid w:val="00AD5F0E"/>
    <w:rsid w:val="00AD6935"/>
    <w:rsid w:val="00AD7891"/>
    <w:rsid w:val="00AE2E21"/>
    <w:rsid w:val="00AE4668"/>
    <w:rsid w:val="00AE5A3D"/>
    <w:rsid w:val="00AE781C"/>
    <w:rsid w:val="00AF0448"/>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154A2"/>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212E"/>
    <w:rsid w:val="00B4371D"/>
    <w:rsid w:val="00B45ECB"/>
    <w:rsid w:val="00B47668"/>
    <w:rsid w:val="00B50E8C"/>
    <w:rsid w:val="00B51242"/>
    <w:rsid w:val="00B519BA"/>
    <w:rsid w:val="00B526D2"/>
    <w:rsid w:val="00B54070"/>
    <w:rsid w:val="00B54A9F"/>
    <w:rsid w:val="00B5659A"/>
    <w:rsid w:val="00B56DD6"/>
    <w:rsid w:val="00B56FB2"/>
    <w:rsid w:val="00B571E7"/>
    <w:rsid w:val="00B617D3"/>
    <w:rsid w:val="00B61CC2"/>
    <w:rsid w:val="00B63ACA"/>
    <w:rsid w:val="00B651CD"/>
    <w:rsid w:val="00B658E0"/>
    <w:rsid w:val="00B70815"/>
    <w:rsid w:val="00B73EAE"/>
    <w:rsid w:val="00B75C38"/>
    <w:rsid w:val="00B849BD"/>
    <w:rsid w:val="00B84DF7"/>
    <w:rsid w:val="00B84EFF"/>
    <w:rsid w:val="00B8616A"/>
    <w:rsid w:val="00B8642B"/>
    <w:rsid w:val="00B871E0"/>
    <w:rsid w:val="00B90D74"/>
    <w:rsid w:val="00B91CB0"/>
    <w:rsid w:val="00B91FC0"/>
    <w:rsid w:val="00B9221B"/>
    <w:rsid w:val="00B951D4"/>
    <w:rsid w:val="00BA163E"/>
    <w:rsid w:val="00BA182C"/>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C6F57"/>
    <w:rsid w:val="00BD0002"/>
    <w:rsid w:val="00BD0BA3"/>
    <w:rsid w:val="00BD0D6C"/>
    <w:rsid w:val="00BD1DF9"/>
    <w:rsid w:val="00BD1F1D"/>
    <w:rsid w:val="00BD2198"/>
    <w:rsid w:val="00BD5BA7"/>
    <w:rsid w:val="00BD6DAC"/>
    <w:rsid w:val="00BE0E7D"/>
    <w:rsid w:val="00BE14E2"/>
    <w:rsid w:val="00BE1D22"/>
    <w:rsid w:val="00BE2CAB"/>
    <w:rsid w:val="00BE302B"/>
    <w:rsid w:val="00BE448F"/>
    <w:rsid w:val="00BE5356"/>
    <w:rsid w:val="00BE73FA"/>
    <w:rsid w:val="00BF09F0"/>
    <w:rsid w:val="00BF0E55"/>
    <w:rsid w:val="00BF115F"/>
    <w:rsid w:val="00BF1BBB"/>
    <w:rsid w:val="00BF38B2"/>
    <w:rsid w:val="00BF409B"/>
    <w:rsid w:val="00BF7416"/>
    <w:rsid w:val="00C003D8"/>
    <w:rsid w:val="00C032DE"/>
    <w:rsid w:val="00C046A6"/>
    <w:rsid w:val="00C06EA3"/>
    <w:rsid w:val="00C100F9"/>
    <w:rsid w:val="00C1037F"/>
    <w:rsid w:val="00C10C2E"/>
    <w:rsid w:val="00C11C4F"/>
    <w:rsid w:val="00C1588C"/>
    <w:rsid w:val="00C1609F"/>
    <w:rsid w:val="00C16D6D"/>
    <w:rsid w:val="00C16E25"/>
    <w:rsid w:val="00C17DF4"/>
    <w:rsid w:val="00C20BB0"/>
    <w:rsid w:val="00C21CB6"/>
    <w:rsid w:val="00C23D4F"/>
    <w:rsid w:val="00C2766D"/>
    <w:rsid w:val="00C3104C"/>
    <w:rsid w:val="00C3509A"/>
    <w:rsid w:val="00C36725"/>
    <w:rsid w:val="00C3680A"/>
    <w:rsid w:val="00C36EFA"/>
    <w:rsid w:val="00C40B07"/>
    <w:rsid w:val="00C40CB5"/>
    <w:rsid w:val="00C412EE"/>
    <w:rsid w:val="00C41E05"/>
    <w:rsid w:val="00C4224F"/>
    <w:rsid w:val="00C42799"/>
    <w:rsid w:val="00C43237"/>
    <w:rsid w:val="00C432B8"/>
    <w:rsid w:val="00C446DA"/>
    <w:rsid w:val="00C448F9"/>
    <w:rsid w:val="00C44A9B"/>
    <w:rsid w:val="00C46488"/>
    <w:rsid w:val="00C504C5"/>
    <w:rsid w:val="00C50EB3"/>
    <w:rsid w:val="00C554B4"/>
    <w:rsid w:val="00C57B52"/>
    <w:rsid w:val="00C605E1"/>
    <w:rsid w:val="00C62B54"/>
    <w:rsid w:val="00C64285"/>
    <w:rsid w:val="00C64E9C"/>
    <w:rsid w:val="00C6707F"/>
    <w:rsid w:val="00C70AA6"/>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2EF4"/>
    <w:rsid w:val="00CD3D54"/>
    <w:rsid w:val="00CD4301"/>
    <w:rsid w:val="00CD45BC"/>
    <w:rsid w:val="00CD5B67"/>
    <w:rsid w:val="00CD7C32"/>
    <w:rsid w:val="00CE210A"/>
    <w:rsid w:val="00CE2C0D"/>
    <w:rsid w:val="00CE3679"/>
    <w:rsid w:val="00CE3842"/>
    <w:rsid w:val="00CE3E00"/>
    <w:rsid w:val="00CE795B"/>
    <w:rsid w:val="00CF19DE"/>
    <w:rsid w:val="00CF2360"/>
    <w:rsid w:val="00CF2B06"/>
    <w:rsid w:val="00CF32E0"/>
    <w:rsid w:val="00CF412C"/>
    <w:rsid w:val="00CF5F6F"/>
    <w:rsid w:val="00CF628F"/>
    <w:rsid w:val="00CF6A0C"/>
    <w:rsid w:val="00D01303"/>
    <w:rsid w:val="00D0493C"/>
    <w:rsid w:val="00D06095"/>
    <w:rsid w:val="00D06C01"/>
    <w:rsid w:val="00D079C6"/>
    <w:rsid w:val="00D10217"/>
    <w:rsid w:val="00D10E1F"/>
    <w:rsid w:val="00D1105B"/>
    <w:rsid w:val="00D118B9"/>
    <w:rsid w:val="00D1449F"/>
    <w:rsid w:val="00D15000"/>
    <w:rsid w:val="00D15D3B"/>
    <w:rsid w:val="00D21719"/>
    <w:rsid w:val="00D22592"/>
    <w:rsid w:val="00D237F9"/>
    <w:rsid w:val="00D24866"/>
    <w:rsid w:val="00D25B49"/>
    <w:rsid w:val="00D268CB"/>
    <w:rsid w:val="00D305B7"/>
    <w:rsid w:val="00D33BDD"/>
    <w:rsid w:val="00D40069"/>
    <w:rsid w:val="00D401E6"/>
    <w:rsid w:val="00D41348"/>
    <w:rsid w:val="00D5162F"/>
    <w:rsid w:val="00D518C8"/>
    <w:rsid w:val="00D51D3C"/>
    <w:rsid w:val="00D52F07"/>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0167"/>
    <w:rsid w:val="00D734AF"/>
    <w:rsid w:val="00D7558B"/>
    <w:rsid w:val="00D76655"/>
    <w:rsid w:val="00D804F4"/>
    <w:rsid w:val="00D80B4D"/>
    <w:rsid w:val="00D81E04"/>
    <w:rsid w:val="00D81F12"/>
    <w:rsid w:val="00D828DB"/>
    <w:rsid w:val="00D8370B"/>
    <w:rsid w:val="00D84C65"/>
    <w:rsid w:val="00D8573F"/>
    <w:rsid w:val="00D86157"/>
    <w:rsid w:val="00D87BF2"/>
    <w:rsid w:val="00D91953"/>
    <w:rsid w:val="00D92FBD"/>
    <w:rsid w:val="00D95D2A"/>
    <w:rsid w:val="00DA431E"/>
    <w:rsid w:val="00DA6599"/>
    <w:rsid w:val="00DA6F17"/>
    <w:rsid w:val="00DB14AF"/>
    <w:rsid w:val="00DB1941"/>
    <w:rsid w:val="00DB19DB"/>
    <w:rsid w:val="00DB1CDF"/>
    <w:rsid w:val="00DB5347"/>
    <w:rsid w:val="00DB798F"/>
    <w:rsid w:val="00DB7FB6"/>
    <w:rsid w:val="00DC0563"/>
    <w:rsid w:val="00DC2DDF"/>
    <w:rsid w:val="00DC315B"/>
    <w:rsid w:val="00DC6173"/>
    <w:rsid w:val="00DD0934"/>
    <w:rsid w:val="00DD28E5"/>
    <w:rsid w:val="00DD4FEC"/>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2FB7"/>
    <w:rsid w:val="00E13E33"/>
    <w:rsid w:val="00E16422"/>
    <w:rsid w:val="00E168CD"/>
    <w:rsid w:val="00E16F69"/>
    <w:rsid w:val="00E17114"/>
    <w:rsid w:val="00E2051A"/>
    <w:rsid w:val="00E21809"/>
    <w:rsid w:val="00E240A1"/>
    <w:rsid w:val="00E25089"/>
    <w:rsid w:val="00E257AD"/>
    <w:rsid w:val="00E262BC"/>
    <w:rsid w:val="00E2637D"/>
    <w:rsid w:val="00E30E81"/>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3476"/>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85C"/>
    <w:rsid w:val="00E81AB1"/>
    <w:rsid w:val="00E82AAF"/>
    <w:rsid w:val="00E82E74"/>
    <w:rsid w:val="00E85D32"/>
    <w:rsid w:val="00E861F5"/>
    <w:rsid w:val="00E862C0"/>
    <w:rsid w:val="00E86369"/>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B7DBC"/>
    <w:rsid w:val="00EC0C9D"/>
    <w:rsid w:val="00EC0D0A"/>
    <w:rsid w:val="00EC54CD"/>
    <w:rsid w:val="00EC5825"/>
    <w:rsid w:val="00EC5EA3"/>
    <w:rsid w:val="00EC6A5E"/>
    <w:rsid w:val="00EC6E13"/>
    <w:rsid w:val="00EC7A51"/>
    <w:rsid w:val="00ED009E"/>
    <w:rsid w:val="00ED1D25"/>
    <w:rsid w:val="00ED481D"/>
    <w:rsid w:val="00ED5083"/>
    <w:rsid w:val="00ED6520"/>
    <w:rsid w:val="00ED706E"/>
    <w:rsid w:val="00EE1CAA"/>
    <w:rsid w:val="00EF102E"/>
    <w:rsid w:val="00EF2A44"/>
    <w:rsid w:val="00EF3234"/>
    <w:rsid w:val="00EF3DC8"/>
    <w:rsid w:val="00EF404C"/>
    <w:rsid w:val="00EF508F"/>
    <w:rsid w:val="00EF6D5B"/>
    <w:rsid w:val="00EF79DD"/>
    <w:rsid w:val="00F0262F"/>
    <w:rsid w:val="00F10080"/>
    <w:rsid w:val="00F10D4C"/>
    <w:rsid w:val="00F115AA"/>
    <w:rsid w:val="00F117BC"/>
    <w:rsid w:val="00F13551"/>
    <w:rsid w:val="00F13E43"/>
    <w:rsid w:val="00F173E6"/>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67355"/>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23D0"/>
    <w:rsid w:val="00F93567"/>
    <w:rsid w:val="00F93EA8"/>
    <w:rsid w:val="00F94B94"/>
    <w:rsid w:val="00F956FB"/>
    <w:rsid w:val="00F96349"/>
    <w:rsid w:val="00F96419"/>
    <w:rsid w:val="00F9711E"/>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5"/>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8992">
      <w:bodyDiv w:val="1"/>
      <w:marLeft w:val="0"/>
      <w:marRight w:val="0"/>
      <w:marTop w:val="0"/>
      <w:marBottom w:val="0"/>
      <w:divBdr>
        <w:top w:val="none" w:sz="0" w:space="0" w:color="auto"/>
        <w:left w:val="none" w:sz="0" w:space="0" w:color="auto"/>
        <w:bottom w:val="none" w:sz="0" w:space="0" w:color="auto"/>
        <w:right w:val="none" w:sz="0" w:space="0" w:color="auto"/>
      </w:divBdr>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543071">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3670736">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9377">
      <w:bodyDiv w:val="1"/>
      <w:marLeft w:val="0"/>
      <w:marRight w:val="0"/>
      <w:marTop w:val="0"/>
      <w:marBottom w:val="0"/>
      <w:divBdr>
        <w:top w:val="none" w:sz="0" w:space="0" w:color="auto"/>
        <w:left w:val="none" w:sz="0" w:space="0" w:color="auto"/>
        <w:bottom w:val="none" w:sz="0" w:space="0" w:color="auto"/>
        <w:right w:val="none" w:sz="0" w:space="0" w:color="auto"/>
      </w:divBdr>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1258260">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3584624">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49380727">
      <w:bodyDiv w:val="1"/>
      <w:marLeft w:val="0"/>
      <w:marRight w:val="0"/>
      <w:marTop w:val="0"/>
      <w:marBottom w:val="0"/>
      <w:divBdr>
        <w:top w:val="none" w:sz="0" w:space="0" w:color="auto"/>
        <w:left w:val="none" w:sz="0" w:space="0" w:color="auto"/>
        <w:bottom w:val="none" w:sz="0" w:space="0" w:color="auto"/>
        <w:right w:val="none" w:sz="0" w:space="0" w:color="auto"/>
      </w:divBdr>
    </w:div>
    <w:div w:id="357514209">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09080339">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3455">
      <w:bodyDiv w:val="1"/>
      <w:marLeft w:val="0"/>
      <w:marRight w:val="0"/>
      <w:marTop w:val="0"/>
      <w:marBottom w:val="0"/>
      <w:divBdr>
        <w:top w:val="none" w:sz="0" w:space="0" w:color="auto"/>
        <w:left w:val="none" w:sz="0" w:space="0" w:color="auto"/>
        <w:bottom w:val="none" w:sz="0" w:space="0" w:color="auto"/>
        <w:right w:val="none" w:sz="0" w:space="0" w:color="auto"/>
      </w:divBdr>
    </w:div>
    <w:div w:id="502286361">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32578207">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43061414">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1959831">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74243607">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12977695">
      <w:bodyDiv w:val="1"/>
      <w:marLeft w:val="0"/>
      <w:marRight w:val="0"/>
      <w:marTop w:val="0"/>
      <w:marBottom w:val="0"/>
      <w:divBdr>
        <w:top w:val="none" w:sz="0" w:space="0" w:color="auto"/>
        <w:left w:val="none" w:sz="0" w:space="0" w:color="auto"/>
        <w:bottom w:val="none" w:sz="0" w:space="0" w:color="auto"/>
        <w:right w:val="none" w:sz="0" w:space="0" w:color="auto"/>
      </w:divBdr>
    </w:div>
    <w:div w:id="622002766">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5814">
      <w:bodyDiv w:val="1"/>
      <w:marLeft w:val="0"/>
      <w:marRight w:val="0"/>
      <w:marTop w:val="0"/>
      <w:marBottom w:val="0"/>
      <w:divBdr>
        <w:top w:val="none" w:sz="0" w:space="0" w:color="auto"/>
        <w:left w:val="none" w:sz="0" w:space="0" w:color="auto"/>
        <w:bottom w:val="none" w:sz="0" w:space="0" w:color="auto"/>
        <w:right w:val="none" w:sz="0" w:space="0" w:color="auto"/>
      </w:divBdr>
    </w:div>
    <w:div w:id="758327848">
      <w:bodyDiv w:val="1"/>
      <w:marLeft w:val="0"/>
      <w:marRight w:val="0"/>
      <w:marTop w:val="0"/>
      <w:marBottom w:val="0"/>
      <w:divBdr>
        <w:top w:val="none" w:sz="0" w:space="0" w:color="auto"/>
        <w:left w:val="none" w:sz="0" w:space="0" w:color="auto"/>
        <w:bottom w:val="none" w:sz="0" w:space="0" w:color="auto"/>
        <w:right w:val="none" w:sz="0" w:space="0" w:color="auto"/>
      </w:divBdr>
    </w:div>
    <w:div w:id="801995336">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65481477">
      <w:bodyDiv w:val="1"/>
      <w:marLeft w:val="0"/>
      <w:marRight w:val="0"/>
      <w:marTop w:val="0"/>
      <w:marBottom w:val="0"/>
      <w:divBdr>
        <w:top w:val="none" w:sz="0" w:space="0" w:color="auto"/>
        <w:left w:val="none" w:sz="0" w:space="0" w:color="auto"/>
        <w:bottom w:val="none" w:sz="0" w:space="0" w:color="auto"/>
        <w:right w:val="none" w:sz="0" w:space="0" w:color="auto"/>
      </w:divBdr>
    </w:div>
    <w:div w:id="884946283">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5017">
      <w:bodyDiv w:val="1"/>
      <w:marLeft w:val="0"/>
      <w:marRight w:val="0"/>
      <w:marTop w:val="0"/>
      <w:marBottom w:val="0"/>
      <w:divBdr>
        <w:top w:val="none" w:sz="0" w:space="0" w:color="auto"/>
        <w:left w:val="none" w:sz="0" w:space="0" w:color="auto"/>
        <w:bottom w:val="none" w:sz="0" w:space="0" w:color="auto"/>
        <w:right w:val="none" w:sz="0" w:space="0" w:color="auto"/>
      </w:divBdr>
    </w:div>
    <w:div w:id="963119056">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85106">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200542">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4585">
      <w:bodyDiv w:val="1"/>
      <w:marLeft w:val="0"/>
      <w:marRight w:val="0"/>
      <w:marTop w:val="0"/>
      <w:marBottom w:val="0"/>
      <w:divBdr>
        <w:top w:val="none" w:sz="0" w:space="0" w:color="auto"/>
        <w:left w:val="none" w:sz="0" w:space="0" w:color="auto"/>
        <w:bottom w:val="none" w:sz="0" w:space="0" w:color="auto"/>
        <w:right w:val="none" w:sz="0" w:space="0" w:color="auto"/>
      </w:divBdr>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9737061">
      <w:bodyDiv w:val="1"/>
      <w:marLeft w:val="0"/>
      <w:marRight w:val="0"/>
      <w:marTop w:val="0"/>
      <w:marBottom w:val="0"/>
      <w:divBdr>
        <w:top w:val="none" w:sz="0" w:space="0" w:color="auto"/>
        <w:left w:val="none" w:sz="0" w:space="0" w:color="auto"/>
        <w:bottom w:val="none" w:sz="0" w:space="0" w:color="auto"/>
        <w:right w:val="none" w:sz="0" w:space="0" w:color="auto"/>
      </w:divBdr>
    </w:div>
    <w:div w:id="1192691952">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0346">
      <w:bodyDiv w:val="1"/>
      <w:marLeft w:val="0"/>
      <w:marRight w:val="0"/>
      <w:marTop w:val="0"/>
      <w:marBottom w:val="0"/>
      <w:divBdr>
        <w:top w:val="none" w:sz="0" w:space="0" w:color="auto"/>
        <w:left w:val="none" w:sz="0" w:space="0" w:color="auto"/>
        <w:bottom w:val="none" w:sz="0" w:space="0" w:color="auto"/>
        <w:right w:val="none" w:sz="0" w:space="0" w:color="auto"/>
      </w:divBdr>
    </w:div>
    <w:div w:id="1361782719">
      <w:bodyDiv w:val="1"/>
      <w:marLeft w:val="0"/>
      <w:marRight w:val="0"/>
      <w:marTop w:val="0"/>
      <w:marBottom w:val="0"/>
      <w:divBdr>
        <w:top w:val="none" w:sz="0" w:space="0" w:color="auto"/>
        <w:left w:val="none" w:sz="0" w:space="0" w:color="auto"/>
        <w:bottom w:val="none" w:sz="0" w:space="0" w:color="auto"/>
        <w:right w:val="none" w:sz="0" w:space="0" w:color="auto"/>
      </w:divBdr>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93755">
      <w:bodyDiv w:val="1"/>
      <w:marLeft w:val="0"/>
      <w:marRight w:val="0"/>
      <w:marTop w:val="0"/>
      <w:marBottom w:val="0"/>
      <w:divBdr>
        <w:top w:val="none" w:sz="0" w:space="0" w:color="auto"/>
        <w:left w:val="none" w:sz="0" w:space="0" w:color="auto"/>
        <w:bottom w:val="none" w:sz="0" w:space="0" w:color="auto"/>
        <w:right w:val="none" w:sz="0" w:space="0" w:color="auto"/>
      </w:divBdr>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92371">
      <w:bodyDiv w:val="1"/>
      <w:marLeft w:val="0"/>
      <w:marRight w:val="0"/>
      <w:marTop w:val="0"/>
      <w:marBottom w:val="0"/>
      <w:divBdr>
        <w:top w:val="none" w:sz="0" w:space="0" w:color="auto"/>
        <w:left w:val="none" w:sz="0" w:space="0" w:color="auto"/>
        <w:bottom w:val="none" w:sz="0" w:space="0" w:color="auto"/>
        <w:right w:val="none" w:sz="0" w:space="0" w:color="auto"/>
      </w:divBdr>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7984">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28726">
      <w:bodyDiv w:val="1"/>
      <w:marLeft w:val="0"/>
      <w:marRight w:val="0"/>
      <w:marTop w:val="0"/>
      <w:marBottom w:val="0"/>
      <w:divBdr>
        <w:top w:val="none" w:sz="0" w:space="0" w:color="auto"/>
        <w:left w:val="none" w:sz="0" w:space="0" w:color="auto"/>
        <w:bottom w:val="none" w:sz="0" w:space="0" w:color="auto"/>
        <w:right w:val="none" w:sz="0" w:space="0" w:color="auto"/>
      </w:divBdr>
    </w:div>
    <w:div w:id="1608998801">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74798468">
      <w:bodyDiv w:val="1"/>
      <w:marLeft w:val="0"/>
      <w:marRight w:val="0"/>
      <w:marTop w:val="0"/>
      <w:marBottom w:val="0"/>
      <w:divBdr>
        <w:top w:val="none" w:sz="0" w:space="0" w:color="auto"/>
        <w:left w:val="none" w:sz="0" w:space="0" w:color="auto"/>
        <w:bottom w:val="none" w:sz="0" w:space="0" w:color="auto"/>
        <w:right w:val="none" w:sz="0" w:space="0" w:color="auto"/>
      </w:divBdr>
    </w:div>
    <w:div w:id="1682078022">
      <w:bodyDiv w:val="1"/>
      <w:marLeft w:val="0"/>
      <w:marRight w:val="0"/>
      <w:marTop w:val="0"/>
      <w:marBottom w:val="0"/>
      <w:divBdr>
        <w:top w:val="none" w:sz="0" w:space="0" w:color="auto"/>
        <w:left w:val="none" w:sz="0" w:space="0" w:color="auto"/>
        <w:bottom w:val="none" w:sz="0" w:space="0" w:color="auto"/>
        <w:right w:val="none" w:sz="0" w:space="0" w:color="auto"/>
      </w:divBdr>
    </w:div>
    <w:div w:id="1699352156">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3458">
      <w:bodyDiv w:val="1"/>
      <w:marLeft w:val="0"/>
      <w:marRight w:val="0"/>
      <w:marTop w:val="0"/>
      <w:marBottom w:val="0"/>
      <w:divBdr>
        <w:top w:val="none" w:sz="0" w:space="0" w:color="auto"/>
        <w:left w:val="none" w:sz="0" w:space="0" w:color="auto"/>
        <w:bottom w:val="none" w:sz="0" w:space="0" w:color="auto"/>
        <w:right w:val="none" w:sz="0" w:space="0" w:color="auto"/>
      </w:divBdr>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444516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09459">
      <w:bodyDiv w:val="1"/>
      <w:marLeft w:val="0"/>
      <w:marRight w:val="0"/>
      <w:marTop w:val="0"/>
      <w:marBottom w:val="0"/>
      <w:divBdr>
        <w:top w:val="none" w:sz="0" w:space="0" w:color="auto"/>
        <w:left w:val="none" w:sz="0" w:space="0" w:color="auto"/>
        <w:bottom w:val="none" w:sz="0" w:space="0" w:color="auto"/>
        <w:right w:val="none" w:sz="0" w:space="0" w:color="auto"/>
      </w:divBdr>
    </w:div>
    <w:div w:id="1856386768">
      <w:bodyDiv w:val="1"/>
      <w:marLeft w:val="0"/>
      <w:marRight w:val="0"/>
      <w:marTop w:val="0"/>
      <w:marBottom w:val="0"/>
      <w:divBdr>
        <w:top w:val="none" w:sz="0" w:space="0" w:color="auto"/>
        <w:left w:val="none" w:sz="0" w:space="0" w:color="auto"/>
        <w:bottom w:val="none" w:sz="0" w:space="0" w:color="auto"/>
        <w:right w:val="none" w:sz="0" w:space="0" w:color="auto"/>
      </w:divBdr>
    </w:div>
    <w:div w:id="1869105323">
      <w:bodyDiv w:val="1"/>
      <w:marLeft w:val="0"/>
      <w:marRight w:val="0"/>
      <w:marTop w:val="0"/>
      <w:marBottom w:val="0"/>
      <w:divBdr>
        <w:top w:val="none" w:sz="0" w:space="0" w:color="auto"/>
        <w:left w:val="none" w:sz="0" w:space="0" w:color="auto"/>
        <w:bottom w:val="none" w:sz="0" w:space="0" w:color="auto"/>
        <w:right w:val="none" w:sz="0" w:space="0" w:color="auto"/>
      </w:divBdr>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18319552">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3594">
      <w:bodyDiv w:val="1"/>
      <w:marLeft w:val="0"/>
      <w:marRight w:val="0"/>
      <w:marTop w:val="0"/>
      <w:marBottom w:val="0"/>
      <w:divBdr>
        <w:top w:val="none" w:sz="0" w:space="0" w:color="auto"/>
        <w:left w:val="none" w:sz="0" w:space="0" w:color="auto"/>
        <w:bottom w:val="none" w:sz="0" w:space="0" w:color="auto"/>
        <w:right w:val="none" w:sz="0" w:space="0" w:color="auto"/>
      </w:divBdr>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65892180">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1084998">
      <w:bodyDiv w:val="1"/>
      <w:marLeft w:val="0"/>
      <w:marRight w:val="0"/>
      <w:marTop w:val="0"/>
      <w:marBottom w:val="0"/>
      <w:divBdr>
        <w:top w:val="none" w:sz="0" w:space="0" w:color="auto"/>
        <w:left w:val="none" w:sz="0" w:space="0" w:color="auto"/>
        <w:bottom w:val="none" w:sz="0" w:space="0" w:color="auto"/>
        <w:right w:val="none" w:sz="0" w:space="0" w:color="auto"/>
      </w:divBdr>
    </w:div>
    <w:div w:id="2027173117">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79671739">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096394083">
      <w:bodyDiv w:val="1"/>
      <w:marLeft w:val="0"/>
      <w:marRight w:val="0"/>
      <w:marTop w:val="0"/>
      <w:marBottom w:val="0"/>
      <w:divBdr>
        <w:top w:val="none" w:sz="0" w:space="0" w:color="auto"/>
        <w:left w:val="none" w:sz="0" w:space="0" w:color="auto"/>
        <w:bottom w:val="none" w:sz="0" w:space="0" w:color="auto"/>
        <w:right w:val="none" w:sz="0" w:space="0" w:color="auto"/>
      </w:divBdr>
    </w:div>
    <w:div w:id="2099255523">
      <w:bodyDiv w:val="1"/>
      <w:marLeft w:val="0"/>
      <w:marRight w:val="0"/>
      <w:marTop w:val="0"/>
      <w:marBottom w:val="0"/>
      <w:divBdr>
        <w:top w:val="none" w:sz="0" w:space="0" w:color="auto"/>
        <w:left w:val="none" w:sz="0" w:space="0" w:color="auto"/>
        <w:bottom w:val="none" w:sz="0" w:space="0" w:color="auto"/>
        <w:right w:val="none" w:sz="0" w:space="0" w:color="auto"/>
      </w:divBdr>
    </w:div>
    <w:div w:id="2115979111">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2133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drive.google.com/file/d/1W2x3nzGRR7Lc3lWo6C4yJSqT3I7boexN/view?usp=shari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drive.google.com/file/d/1G7Yv8qBLqwGquuMpoEh_cReROGvNKMfr/view?usp=shar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5P1Vf1EQPU6AoAtVfu_tl8UxS7szcaGN/view?usp=shar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med.sourani@gupap.org" TargetMode="External"/><Relationship Id="rId23" Type="http://schemas.openxmlformats.org/officeDocument/2006/relationships/footer" Target="footer2.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drive.google.com/file/d/1hIRUTMiKGkBSz0BZuDvCvYVyil6R6Nn2/view?usp=sharing"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9764</Words>
  <Characters>55659</Characters>
  <Application>Microsoft Office Word</Application>
  <DocSecurity>0</DocSecurity>
  <Lines>463</Lines>
  <Paragraphs>130</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65293</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Alaa Seqaly GUPAP</cp:lastModifiedBy>
  <cp:revision>2</cp:revision>
  <cp:lastPrinted>2024-09-27T10:14:00Z</cp:lastPrinted>
  <dcterms:created xsi:type="dcterms:W3CDTF">2024-12-13T07:45:00Z</dcterms:created>
  <dcterms:modified xsi:type="dcterms:W3CDTF">2024-12-13T07:45:00Z</dcterms:modified>
</cp:coreProperties>
</file>